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Ind w:w="98" w:type="dxa"/>
        <w:tblLayout w:type="fixed"/>
        <w:tblCellMar>
          <w:left w:w="0" w:type="dxa"/>
          <w:right w:w="0" w:type="dxa"/>
        </w:tblCellMar>
        <w:tblLook w:val="01E0" w:firstRow="1" w:lastRow="1" w:firstColumn="1" w:lastColumn="1" w:noHBand="0" w:noVBand="0"/>
      </w:tblPr>
      <w:tblGrid>
        <w:gridCol w:w="6055"/>
        <w:gridCol w:w="3521"/>
      </w:tblGrid>
      <w:tr w:rsidR="006A0CDE" w:rsidRPr="00E66CD9" w:rsidTr="002446CD">
        <w:trPr>
          <w:trHeight w:hRule="exact" w:val="1206"/>
        </w:trPr>
        <w:tc>
          <w:tcPr>
            <w:tcW w:w="6055" w:type="dxa"/>
            <w:tcBorders>
              <w:top w:val="single" w:sz="5" w:space="0" w:color="000000"/>
              <w:left w:val="single" w:sz="5" w:space="0" w:color="000000"/>
              <w:bottom w:val="single" w:sz="5" w:space="0" w:color="000000"/>
              <w:right w:val="single" w:sz="5" w:space="0" w:color="000000"/>
            </w:tcBorders>
          </w:tcPr>
          <w:p w:rsidR="006A0CDE" w:rsidRPr="00E66CD9" w:rsidRDefault="00A44455">
            <w:pPr>
              <w:pStyle w:val="TableParagraph"/>
              <w:spacing w:before="114" w:line="320" w:lineRule="exact"/>
              <w:ind w:left="217"/>
              <w:rPr>
                <w:rFonts w:ascii="Times New Roman" w:eastAsia="Times New Roman" w:hAnsi="Times New Roman" w:cs="Times New Roman"/>
                <w:sz w:val="28"/>
                <w:szCs w:val="28"/>
              </w:rPr>
            </w:pPr>
            <w:bookmarkStart w:id="0" w:name="_GoBack"/>
            <w:bookmarkEnd w:id="0"/>
            <w:r w:rsidRPr="00E66CD9">
              <w:rPr>
                <w:rFonts w:ascii="Times New Roman" w:hAnsi="Times New Roman" w:cs="Times New Roman"/>
                <w:b/>
                <w:sz w:val="28"/>
                <w:szCs w:val="28"/>
              </w:rPr>
              <w:t>COLORADO SUPREME COURT</w:t>
            </w:r>
          </w:p>
          <w:p w:rsidR="006A0CDE" w:rsidRPr="00E66CD9" w:rsidRDefault="00A44455">
            <w:pPr>
              <w:pStyle w:val="TableParagraph"/>
              <w:ind w:left="217" w:right="3047"/>
              <w:rPr>
                <w:rFonts w:ascii="Times New Roman" w:eastAsia="Times New Roman" w:hAnsi="Times New Roman" w:cs="Times New Roman"/>
                <w:sz w:val="28"/>
                <w:szCs w:val="28"/>
              </w:rPr>
            </w:pPr>
            <w:r w:rsidRPr="00E66CD9">
              <w:rPr>
                <w:rFonts w:ascii="Times New Roman" w:hAnsi="Times New Roman" w:cs="Times New Roman"/>
                <w:sz w:val="28"/>
                <w:szCs w:val="28"/>
              </w:rPr>
              <w:t>2 East 14th Avenue Denver, Colorado 80203</w:t>
            </w:r>
          </w:p>
        </w:tc>
        <w:tc>
          <w:tcPr>
            <w:tcW w:w="3521" w:type="dxa"/>
            <w:vMerge w:val="restart"/>
            <w:tcBorders>
              <w:top w:val="single" w:sz="5" w:space="0" w:color="000000"/>
              <w:left w:val="single" w:sz="5" w:space="0" w:color="000000"/>
              <w:right w:val="single" w:sz="5" w:space="0" w:color="000000"/>
            </w:tcBorders>
          </w:tcPr>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6A0CDE">
            <w:pPr>
              <w:pStyle w:val="TableParagraph"/>
              <w:rPr>
                <w:rFonts w:ascii="Times New Roman" w:eastAsia="Times New Roman" w:hAnsi="Times New Roman" w:cs="Times New Roman"/>
                <w:sz w:val="28"/>
                <w:szCs w:val="28"/>
              </w:rPr>
            </w:pPr>
          </w:p>
          <w:p w:rsidR="006A0CDE" w:rsidRPr="00E66CD9" w:rsidRDefault="00A44455">
            <w:pPr>
              <w:pStyle w:val="TableParagraph"/>
              <w:spacing w:before="163"/>
              <w:ind w:left="154"/>
              <w:rPr>
                <w:rFonts w:ascii="Times New Roman" w:eastAsia="Times New Roman" w:hAnsi="Times New Roman" w:cs="Times New Roman"/>
                <w:sz w:val="28"/>
                <w:szCs w:val="28"/>
              </w:rPr>
            </w:pPr>
            <w:r w:rsidRPr="00E66CD9">
              <w:rPr>
                <w:rFonts w:ascii="Times New Roman" w:eastAsia="Times New Roman" w:hAnsi="Times New Roman" w:cs="Times New Roman"/>
                <w:b/>
                <w:bCs/>
                <w:sz w:val="28"/>
                <w:szCs w:val="28"/>
              </w:rPr>
              <w:t>▲ COURT USE ONLY ▲</w:t>
            </w:r>
          </w:p>
        </w:tc>
      </w:tr>
      <w:tr w:rsidR="006A0CDE" w:rsidRPr="00E66CD9" w:rsidTr="002446CD">
        <w:trPr>
          <w:trHeight w:hRule="exact" w:val="884"/>
        </w:trPr>
        <w:tc>
          <w:tcPr>
            <w:tcW w:w="6055" w:type="dxa"/>
            <w:tcBorders>
              <w:top w:val="single" w:sz="5" w:space="0" w:color="000000"/>
              <w:left w:val="single" w:sz="5" w:space="0" w:color="000000"/>
              <w:bottom w:val="single" w:sz="5" w:space="0" w:color="000000"/>
              <w:right w:val="single" w:sz="5" w:space="0" w:color="000000"/>
            </w:tcBorders>
          </w:tcPr>
          <w:p w:rsidR="006A0CDE" w:rsidRPr="00E66CD9" w:rsidRDefault="00A44455">
            <w:pPr>
              <w:pStyle w:val="TableParagraph"/>
              <w:spacing w:before="110"/>
              <w:ind w:left="109" w:right="170"/>
              <w:rPr>
                <w:rFonts w:ascii="Times New Roman" w:eastAsia="Times New Roman" w:hAnsi="Times New Roman" w:cs="Times New Roman"/>
                <w:sz w:val="28"/>
                <w:szCs w:val="28"/>
              </w:rPr>
            </w:pPr>
            <w:r w:rsidRPr="00E66CD9">
              <w:rPr>
                <w:rFonts w:ascii="Times New Roman" w:hAnsi="Times New Roman" w:cs="Times New Roman"/>
                <w:sz w:val="28"/>
                <w:szCs w:val="28"/>
              </w:rPr>
              <w:t>Certiorari from the Court of Appeals, 2014CA1154 District Court, Arapahoe County, 2013CV32022</w:t>
            </w:r>
          </w:p>
        </w:tc>
        <w:tc>
          <w:tcPr>
            <w:tcW w:w="3521" w:type="dxa"/>
            <w:vMerge/>
            <w:tcBorders>
              <w:left w:val="single" w:sz="5" w:space="0" w:color="000000"/>
              <w:right w:val="single" w:sz="5" w:space="0" w:color="000000"/>
            </w:tcBorders>
          </w:tcPr>
          <w:p w:rsidR="006A0CDE" w:rsidRPr="00E66CD9" w:rsidRDefault="006A0CDE">
            <w:pPr>
              <w:rPr>
                <w:rFonts w:ascii="Times New Roman" w:hAnsi="Times New Roman" w:cs="Times New Roman"/>
                <w:sz w:val="28"/>
                <w:szCs w:val="28"/>
              </w:rPr>
            </w:pPr>
          </w:p>
        </w:tc>
      </w:tr>
      <w:tr w:rsidR="006A0CDE" w:rsidRPr="00E66CD9" w:rsidTr="002446CD">
        <w:trPr>
          <w:trHeight w:hRule="exact" w:val="3351"/>
        </w:trPr>
        <w:tc>
          <w:tcPr>
            <w:tcW w:w="6055" w:type="dxa"/>
            <w:tcBorders>
              <w:top w:val="single" w:sz="5" w:space="0" w:color="000000"/>
              <w:left w:val="single" w:sz="5" w:space="0" w:color="000000"/>
              <w:bottom w:val="single" w:sz="5" w:space="0" w:color="000000"/>
              <w:right w:val="single" w:sz="5" w:space="0" w:color="000000"/>
            </w:tcBorders>
          </w:tcPr>
          <w:p w:rsidR="006A0CDE" w:rsidRPr="00E66CD9" w:rsidRDefault="00A44455">
            <w:pPr>
              <w:pStyle w:val="TableParagraph"/>
              <w:spacing w:before="180" w:line="318" w:lineRule="exact"/>
              <w:ind w:left="148"/>
              <w:rPr>
                <w:rFonts w:ascii="Times New Roman" w:eastAsia="Times New Roman" w:hAnsi="Times New Roman" w:cs="Times New Roman"/>
                <w:sz w:val="28"/>
                <w:szCs w:val="28"/>
              </w:rPr>
            </w:pPr>
            <w:r w:rsidRPr="00E66CD9">
              <w:rPr>
                <w:rFonts w:ascii="Times New Roman" w:hAnsi="Times New Roman" w:cs="Times New Roman"/>
                <w:b/>
                <w:sz w:val="28"/>
                <w:szCs w:val="28"/>
              </w:rPr>
              <w:t>Petitioner:</w:t>
            </w:r>
          </w:p>
          <w:p w:rsidR="006A0CDE" w:rsidRPr="00E66CD9" w:rsidRDefault="00A44455" w:rsidP="003403F3">
            <w:pPr>
              <w:pStyle w:val="TableParagraph"/>
              <w:spacing w:line="241" w:lineRule="auto"/>
              <w:ind w:left="148" w:right="477"/>
              <w:rPr>
                <w:rFonts w:ascii="Times New Roman" w:eastAsia="Times New Roman" w:hAnsi="Times New Roman" w:cs="Times New Roman"/>
                <w:sz w:val="28"/>
                <w:szCs w:val="28"/>
              </w:rPr>
            </w:pPr>
            <w:r w:rsidRPr="00E66CD9">
              <w:rPr>
                <w:rFonts w:ascii="Times New Roman" w:hAnsi="Times New Roman" w:cs="Times New Roman"/>
                <w:sz w:val="28"/>
                <w:szCs w:val="28"/>
              </w:rPr>
              <w:t>VALLAGIO AT INVERNESS RESIDENTIAL CONDOMINIUM ASSOCIATION, INC.,</w:t>
            </w:r>
          </w:p>
          <w:p w:rsidR="006A0CDE" w:rsidRPr="00E66CD9" w:rsidRDefault="00A44455" w:rsidP="006945B1">
            <w:pPr>
              <w:pStyle w:val="TableParagraph"/>
              <w:spacing w:before="16" w:line="720" w:lineRule="exact"/>
              <w:ind w:left="148" w:right="477"/>
              <w:rPr>
                <w:rFonts w:ascii="Times New Roman" w:hAnsi="Times New Roman" w:cs="Times New Roman"/>
                <w:b/>
                <w:sz w:val="28"/>
                <w:szCs w:val="28"/>
              </w:rPr>
            </w:pPr>
            <w:r w:rsidRPr="00E66CD9">
              <w:rPr>
                <w:rFonts w:ascii="Times New Roman" w:hAnsi="Times New Roman" w:cs="Times New Roman"/>
                <w:b/>
                <w:sz w:val="28"/>
                <w:szCs w:val="28"/>
              </w:rPr>
              <w:t>v. Respondents:</w:t>
            </w:r>
          </w:p>
          <w:p w:rsidR="006A0CDE" w:rsidRPr="00E66CD9" w:rsidRDefault="00A44455" w:rsidP="003403F3">
            <w:pPr>
              <w:pStyle w:val="TableParagraph"/>
              <w:spacing w:line="234" w:lineRule="exact"/>
              <w:ind w:left="148"/>
              <w:rPr>
                <w:rFonts w:ascii="Times New Roman" w:eastAsia="Times New Roman" w:hAnsi="Times New Roman" w:cs="Times New Roman"/>
                <w:sz w:val="28"/>
                <w:szCs w:val="28"/>
              </w:rPr>
            </w:pPr>
            <w:r w:rsidRPr="00E66CD9">
              <w:rPr>
                <w:rFonts w:ascii="Times New Roman" w:hAnsi="Times New Roman" w:cs="Times New Roman"/>
                <w:sz w:val="28"/>
                <w:szCs w:val="28"/>
              </w:rPr>
              <w:t>METROPOLITAN HOMES, INC., a Colorado</w:t>
            </w:r>
            <w:r w:rsidR="003403F3" w:rsidRPr="00E66CD9">
              <w:rPr>
                <w:rFonts w:ascii="Times New Roman" w:hAnsi="Times New Roman" w:cs="Times New Roman"/>
                <w:sz w:val="28"/>
                <w:szCs w:val="28"/>
              </w:rPr>
              <w:t xml:space="preserve"> </w:t>
            </w:r>
            <w:r w:rsidRPr="00E66CD9">
              <w:rPr>
                <w:rFonts w:ascii="Times New Roman" w:hAnsi="Times New Roman" w:cs="Times New Roman"/>
                <w:sz w:val="28"/>
                <w:szCs w:val="28"/>
              </w:rPr>
              <w:t>Corporation; METRO INVERNESS, LLC, a Colorado Limited Liability Company; GREG KRAUSE, individually; PETER KUDLA, individually,</w:t>
            </w:r>
          </w:p>
        </w:tc>
        <w:tc>
          <w:tcPr>
            <w:tcW w:w="3521" w:type="dxa"/>
            <w:vMerge/>
            <w:tcBorders>
              <w:left w:val="single" w:sz="5" w:space="0" w:color="000000"/>
              <w:bottom w:val="single" w:sz="5" w:space="0" w:color="000000"/>
              <w:right w:val="single" w:sz="5" w:space="0" w:color="000000"/>
            </w:tcBorders>
          </w:tcPr>
          <w:p w:rsidR="006A0CDE" w:rsidRPr="00E66CD9" w:rsidRDefault="006A0CDE">
            <w:pPr>
              <w:rPr>
                <w:rFonts w:ascii="Times New Roman" w:hAnsi="Times New Roman" w:cs="Times New Roman"/>
                <w:sz w:val="28"/>
                <w:szCs w:val="28"/>
              </w:rPr>
            </w:pPr>
          </w:p>
        </w:tc>
      </w:tr>
      <w:tr w:rsidR="006A0CDE" w:rsidRPr="00E66CD9" w:rsidTr="002446CD">
        <w:trPr>
          <w:trHeight w:hRule="exact" w:val="2494"/>
        </w:trPr>
        <w:tc>
          <w:tcPr>
            <w:tcW w:w="6055" w:type="dxa"/>
            <w:tcBorders>
              <w:top w:val="single" w:sz="5" w:space="0" w:color="000000"/>
              <w:left w:val="single" w:sz="5" w:space="0" w:color="000000"/>
              <w:bottom w:val="single" w:sz="5" w:space="0" w:color="000000"/>
              <w:right w:val="single" w:sz="5" w:space="0" w:color="000000"/>
            </w:tcBorders>
          </w:tcPr>
          <w:p w:rsidR="006A0CDE" w:rsidRPr="00E66CD9" w:rsidRDefault="00A44455">
            <w:pPr>
              <w:pStyle w:val="TableParagraph"/>
              <w:spacing w:before="110"/>
              <w:ind w:left="109" w:right="1544"/>
              <w:rPr>
                <w:rFonts w:ascii="Times New Roman" w:eastAsia="Times New Roman" w:hAnsi="Times New Roman" w:cs="Times New Roman"/>
                <w:sz w:val="28"/>
                <w:szCs w:val="28"/>
              </w:rPr>
            </w:pPr>
            <w:r w:rsidRPr="00E66CD9">
              <w:rPr>
                <w:rFonts w:ascii="Times New Roman" w:hAnsi="Times New Roman" w:cs="Times New Roman"/>
                <w:sz w:val="28"/>
                <w:szCs w:val="28"/>
              </w:rPr>
              <w:t>Jeffrey P. Kerrane, Esq. (#34546) Benson, Kerrane, Storz &amp; Nelson, P.C. 110 N. Rubey Drive, Suite 200</w:t>
            </w:r>
          </w:p>
          <w:p w:rsidR="006A0CDE" w:rsidRPr="00E66CD9" w:rsidRDefault="00A44455">
            <w:pPr>
              <w:pStyle w:val="TableParagraph"/>
              <w:spacing w:line="321" w:lineRule="exact"/>
              <w:ind w:left="109"/>
              <w:rPr>
                <w:rFonts w:ascii="Times New Roman" w:eastAsia="Times New Roman" w:hAnsi="Times New Roman" w:cs="Times New Roman"/>
                <w:sz w:val="28"/>
                <w:szCs w:val="28"/>
              </w:rPr>
            </w:pPr>
            <w:r w:rsidRPr="00E66CD9">
              <w:rPr>
                <w:rFonts w:ascii="Times New Roman" w:hAnsi="Times New Roman" w:cs="Times New Roman"/>
                <w:sz w:val="28"/>
                <w:szCs w:val="28"/>
              </w:rPr>
              <w:t>Golden, Colorado 80403</w:t>
            </w:r>
          </w:p>
          <w:p w:rsidR="006A0CDE" w:rsidRPr="00E66CD9" w:rsidRDefault="00A44455">
            <w:pPr>
              <w:pStyle w:val="TableParagraph"/>
              <w:spacing w:line="322" w:lineRule="exact"/>
              <w:ind w:left="109"/>
              <w:rPr>
                <w:rFonts w:ascii="Times New Roman" w:eastAsia="Times New Roman" w:hAnsi="Times New Roman" w:cs="Times New Roman"/>
                <w:sz w:val="28"/>
                <w:szCs w:val="28"/>
              </w:rPr>
            </w:pPr>
            <w:r w:rsidRPr="00E66CD9">
              <w:rPr>
                <w:rFonts w:ascii="Times New Roman" w:hAnsi="Times New Roman" w:cs="Times New Roman"/>
                <w:sz w:val="28"/>
                <w:szCs w:val="28"/>
              </w:rPr>
              <w:t>(720) 898-9680</w:t>
            </w:r>
          </w:p>
          <w:p w:rsidR="006A0CDE" w:rsidRPr="00E66CD9" w:rsidRDefault="003B7D1C">
            <w:pPr>
              <w:pStyle w:val="TableParagraph"/>
              <w:ind w:left="109"/>
              <w:rPr>
                <w:rFonts w:ascii="Times New Roman" w:eastAsia="Times New Roman" w:hAnsi="Times New Roman" w:cs="Times New Roman"/>
                <w:sz w:val="28"/>
                <w:szCs w:val="28"/>
              </w:rPr>
            </w:pPr>
            <w:hyperlink r:id="rId8">
              <w:r w:rsidR="00A44455" w:rsidRPr="00E66CD9">
                <w:rPr>
                  <w:rFonts w:ascii="Times New Roman" w:hAnsi="Times New Roman" w:cs="Times New Roman"/>
                  <w:sz w:val="28"/>
                  <w:szCs w:val="28"/>
                </w:rPr>
                <w:t>jkerrane@bensonpc.com</w:t>
              </w:r>
            </w:hyperlink>
          </w:p>
          <w:p w:rsidR="006A0CDE" w:rsidRPr="00E66CD9" w:rsidRDefault="00A44455">
            <w:pPr>
              <w:pStyle w:val="TableParagraph"/>
              <w:spacing w:before="1"/>
              <w:ind w:left="109"/>
              <w:rPr>
                <w:rFonts w:ascii="Times New Roman" w:eastAsia="Times New Roman" w:hAnsi="Times New Roman" w:cs="Times New Roman"/>
                <w:sz w:val="28"/>
                <w:szCs w:val="28"/>
              </w:rPr>
            </w:pPr>
            <w:r w:rsidRPr="00E66CD9">
              <w:rPr>
                <w:rFonts w:ascii="Times New Roman" w:hAnsi="Times New Roman" w:cs="Times New Roman"/>
                <w:sz w:val="28"/>
                <w:szCs w:val="28"/>
              </w:rPr>
              <w:t>Counsel for the Community Associations Institute</w:t>
            </w:r>
          </w:p>
        </w:tc>
        <w:tc>
          <w:tcPr>
            <w:tcW w:w="3521" w:type="dxa"/>
            <w:tcBorders>
              <w:top w:val="single" w:sz="5" w:space="0" w:color="000000"/>
              <w:left w:val="single" w:sz="5" w:space="0" w:color="000000"/>
              <w:bottom w:val="single" w:sz="5" w:space="0" w:color="000000"/>
              <w:right w:val="single" w:sz="5" w:space="0" w:color="000000"/>
            </w:tcBorders>
          </w:tcPr>
          <w:p w:rsidR="006A0CDE" w:rsidRPr="00E66CD9" w:rsidRDefault="00A44455">
            <w:pPr>
              <w:pStyle w:val="TableParagraph"/>
              <w:spacing w:before="110"/>
              <w:ind w:left="109" w:right="522"/>
              <w:rPr>
                <w:rFonts w:ascii="Times New Roman" w:eastAsia="Times New Roman" w:hAnsi="Times New Roman" w:cs="Times New Roman"/>
                <w:sz w:val="28"/>
                <w:szCs w:val="28"/>
              </w:rPr>
            </w:pPr>
            <w:r w:rsidRPr="00E66CD9">
              <w:rPr>
                <w:rFonts w:ascii="Times New Roman" w:hAnsi="Times New Roman" w:cs="Times New Roman"/>
                <w:sz w:val="28"/>
                <w:szCs w:val="28"/>
              </w:rPr>
              <w:t>Supreme Court Case No.: 2015 SC 508</w:t>
            </w:r>
          </w:p>
        </w:tc>
      </w:tr>
      <w:tr w:rsidR="006A0CDE" w:rsidRPr="00E66CD9" w:rsidTr="002446CD">
        <w:trPr>
          <w:trHeight w:hRule="exact" w:val="1181"/>
        </w:trPr>
        <w:tc>
          <w:tcPr>
            <w:tcW w:w="9576" w:type="dxa"/>
            <w:gridSpan w:val="2"/>
            <w:tcBorders>
              <w:top w:val="single" w:sz="5" w:space="0" w:color="000000"/>
              <w:left w:val="single" w:sz="5" w:space="0" w:color="000000"/>
              <w:bottom w:val="single" w:sz="5" w:space="0" w:color="000000"/>
              <w:right w:val="single" w:sz="5" w:space="0" w:color="000000"/>
            </w:tcBorders>
          </w:tcPr>
          <w:p w:rsidR="006A0CDE" w:rsidRPr="00E66CD9" w:rsidRDefault="00A44455" w:rsidP="003403F3">
            <w:pPr>
              <w:pStyle w:val="TableParagraph"/>
              <w:spacing w:before="240" w:line="276" w:lineRule="auto"/>
              <w:ind w:left="1667" w:right="549" w:hanging="1117"/>
              <w:rPr>
                <w:rFonts w:ascii="Times New Roman" w:eastAsia="Times New Roman" w:hAnsi="Times New Roman" w:cs="Times New Roman"/>
                <w:sz w:val="28"/>
                <w:szCs w:val="28"/>
              </w:rPr>
            </w:pPr>
            <w:r w:rsidRPr="00E66CD9">
              <w:rPr>
                <w:rFonts w:ascii="Times New Roman" w:hAnsi="Times New Roman" w:cs="Times New Roman"/>
                <w:b/>
                <w:sz w:val="28"/>
                <w:szCs w:val="28"/>
              </w:rPr>
              <w:t>BRIEF OF AMICUS CURIAE THE COMMUNITY ASSOCIATIONS INSTITUTE IN SUPPORT OF THE PETITIONER</w:t>
            </w:r>
          </w:p>
        </w:tc>
      </w:tr>
    </w:tbl>
    <w:p w:rsidR="006A0CDE" w:rsidRPr="00E66CD9" w:rsidRDefault="006A0CDE">
      <w:pPr>
        <w:spacing w:before="11"/>
        <w:rPr>
          <w:rFonts w:ascii="Times New Roman" w:eastAsia="Times New Roman" w:hAnsi="Times New Roman" w:cs="Times New Roman"/>
          <w:sz w:val="28"/>
          <w:szCs w:val="28"/>
        </w:rPr>
      </w:pPr>
    </w:p>
    <w:p w:rsidR="00872919" w:rsidRPr="00E66CD9" w:rsidRDefault="00A44455" w:rsidP="006945B1">
      <w:pPr>
        <w:pStyle w:val="BodyText"/>
      </w:pPr>
      <w:r w:rsidRPr="00E66CD9">
        <w:t xml:space="preserve">Amicus Curiae Community Associations Institute </w:t>
      </w:r>
      <w:r w:rsidR="006945B1" w:rsidRPr="00E66CD9">
        <w:t>(CAI),</w:t>
      </w:r>
      <w:r w:rsidRPr="00E66CD9">
        <w:t xml:space="preserve"> </w:t>
      </w:r>
      <w:r w:rsidR="006945B1" w:rsidRPr="00E66CD9">
        <w:t>through</w:t>
      </w:r>
      <w:r w:rsidRPr="00E66CD9">
        <w:t xml:space="preserve"> its undersigned counsel, submits </w:t>
      </w:r>
      <w:r w:rsidR="00B053ED" w:rsidRPr="00E66CD9">
        <w:t xml:space="preserve">this </w:t>
      </w:r>
      <w:r w:rsidRPr="00E66CD9">
        <w:t xml:space="preserve">Amicus Curiae Brief in </w:t>
      </w:r>
      <w:r w:rsidR="00B053ED" w:rsidRPr="00E66CD9">
        <w:t>s</w:t>
      </w:r>
      <w:r w:rsidRPr="00E66CD9">
        <w:t>upport of the Petitioner</w:t>
      </w:r>
      <w:r w:rsidR="00C22291" w:rsidRPr="00E66CD9">
        <w:t xml:space="preserve"> </w:t>
      </w:r>
      <w:r w:rsidRPr="00E66CD9">
        <w:t xml:space="preserve">Vallagio at Inverness Residential Condominium Association, Inc., as to why the decision of the Court of Appeals should </w:t>
      </w:r>
      <w:r w:rsidRPr="002446CD">
        <w:rPr>
          <w:noProof/>
        </w:rPr>
        <w:t>be reversed</w:t>
      </w:r>
      <w:r w:rsidRPr="00E66CD9">
        <w:t>.</w:t>
      </w:r>
      <w:r w:rsidR="006945B1" w:rsidRPr="00E66CD9">
        <w:t xml:space="preserve"> </w:t>
      </w:r>
    </w:p>
    <w:p w:rsidR="006A0CDE" w:rsidRPr="007C3943" w:rsidRDefault="00A44455" w:rsidP="007C3943">
      <w:pPr>
        <w:pStyle w:val="BodyText"/>
        <w:ind w:firstLine="0"/>
        <w:jc w:val="center"/>
        <w:rPr>
          <w:b/>
          <w:bCs/>
        </w:rPr>
      </w:pPr>
      <w:r w:rsidRPr="007C3943">
        <w:rPr>
          <w:b/>
        </w:rPr>
        <w:lastRenderedPageBreak/>
        <w:t>CERTIFICATE OF COMPLIANCE</w:t>
      </w:r>
    </w:p>
    <w:p w:rsidR="006A0CDE" w:rsidRPr="00E66CD9" w:rsidRDefault="00A44455" w:rsidP="00872919">
      <w:pPr>
        <w:pStyle w:val="BodyText"/>
      </w:pPr>
      <w:r w:rsidRPr="002446CD">
        <w:rPr>
          <w:noProof/>
        </w:rPr>
        <w:t>I</w:t>
      </w:r>
      <w:r w:rsidRPr="00E66CD9">
        <w:t xml:space="preserve"> certify that this brief complies with all requirements of C.A.R. 28, 29, and 32, including all formatting requirements </w:t>
      </w:r>
      <w:r w:rsidRPr="002446CD">
        <w:rPr>
          <w:noProof/>
        </w:rPr>
        <w:t>set forth in</w:t>
      </w:r>
      <w:r w:rsidRPr="00E66CD9">
        <w:t xml:space="preserve"> these rules. Specifically, the undersigned certifies that:</w:t>
      </w:r>
    </w:p>
    <w:p w:rsidR="006A0CDE" w:rsidRPr="00E66CD9" w:rsidRDefault="00A44455" w:rsidP="00872919">
      <w:pPr>
        <w:pStyle w:val="BodyText"/>
      </w:pPr>
      <w:r w:rsidRPr="00E66CD9">
        <w:t xml:space="preserve">The brief complies with C.A.R. 28(g) because it contains </w:t>
      </w:r>
      <w:r w:rsidR="00BB7AB7">
        <w:t>2,288</w:t>
      </w:r>
      <w:r w:rsidRPr="00E66CD9">
        <w:t xml:space="preserve"> words. The brief also complies with the requirements </w:t>
      </w:r>
      <w:r w:rsidRPr="002446CD">
        <w:rPr>
          <w:noProof/>
        </w:rPr>
        <w:t>set forth in</w:t>
      </w:r>
      <w:r w:rsidRPr="00E66CD9">
        <w:t xml:space="preserve"> C.A.R. 32.</w:t>
      </w:r>
    </w:p>
    <w:p w:rsidR="006A0CDE" w:rsidRPr="00E66CD9" w:rsidRDefault="00A44455" w:rsidP="00872919">
      <w:pPr>
        <w:pStyle w:val="BodyText"/>
      </w:pPr>
      <w:r w:rsidRPr="002446CD">
        <w:rPr>
          <w:noProof/>
        </w:rPr>
        <w:t>I</w:t>
      </w:r>
      <w:r w:rsidRPr="00E66CD9">
        <w:t xml:space="preserve"> acknowledge that </w:t>
      </w:r>
      <w:r w:rsidRPr="002446CD">
        <w:rPr>
          <w:noProof/>
        </w:rPr>
        <w:t>my</w:t>
      </w:r>
      <w:r w:rsidRPr="00E66CD9">
        <w:t xml:space="preserve"> brief may be stricken if it fails to comply with any of the requirements of C.A.R. 28 and C.A.R. 32.</w:t>
      </w:r>
    </w:p>
    <w:p w:rsidR="006A0CDE" w:rsidRPr="00E66CD9" w:rsidRDefault="00A44455" w:rsidP="007C3943">
      <w:pPr>
        <w:pStyle w:val="BodyText"/>
        <w:ind w:left="2880"/>
      </w:pPr>
      <w:r w:rsidRPr="00E66CD9">
        <w:t>By:</w:t>
      </w:r>
      <w:r w:rsidR="006945B1" w:rsidRPr="00E66CD9">
        <w:t xml:space="preserve"> </w:t>
      </w:r>
      <w:r w:rsidRPr="007C3943">
        <w:rPr>
          <w:u w:val="single"/>
        </w:rPr>
        <w:t>Jeffrey P. Kerrane, Esq. (#34546)</w:t>
      </w:r>
      <w:r w:rsidR="00872919" w:rsidRPr="007C3943">
        <w:rPr>
          <w:u w:val="single"/>
        </w:rPr>
        <w:tab/>
      </w:r>
      <w:r w:rsidR="00872919" w:rsidRPr="007C3943">
        <w:rPr>
          <w:u w:val="single"/>
        </w:rPr>
        <w:tab/>
      </w:r>
    </w:p>
    <w:p w:rsidR="00872919" w:rsidRPr="00E66CD9" w:rsidRDefault="00872919">
      <w:pPr>
        <w:rPr>
          <w:rFonts w:ascii="Times New Roman" w:hAnsi="Times New Roman" w:cs="Times New Roman"/>
          <w:sz w:val="28"/>
          <w:szCs w:val="28"/>
        </w:rPr>
      </w:pPr>
      <w:r w:rsidRPr="00E66CD9">
        <w:rPr>
          <w:rFonts w:ascii="Times New Roman" w:hAnsi="Times New Roman" w:cs="Times New Roman"/>
          <w:b/>
          <w:bCs/>
          <w:sz w:val="28"/>
          <w:szCs w:val="28"/>
        </w:rPr>
        <w:br w:type="page"/>
      </w:r>
    </w:p>
    <w:p w:rsidR="006A0CDE" w:rsidRPr="007C3943" w:rsidRDefault="00A44455" w:rsidP="007C3943">
      <w:pPr>
        <w:pStyle w:val="BodyText"/>
        <w:ind w:firstLine="0"/>
        <w:jc w:val="center"/>
        <w:rPr>
          <w:b/>
          <w:bCs/>
        </w:rPr>
      </w:pPr>
      <w:r w:rsidRPr="007C3943">
        <w:rPr>
          <w:b/>
        </w:rPr>
        <w:lastRenderedPageBreak/>
        <w:t>TABLE OF CONTENTS</w:t>
      </w:r>
    </w:p>
    <w:sdt>
      <w:sdtPr>
        <w:rPr>
          <w:rFonts w:asciiTheme="minorHAnsi" w:eastAsiaTheme="minorHAnsi" w:hAnsiTheme="minorHAnsi" w:cstheme="minorBidi"/>
          <w:b w:val="0"/>
          <w:bCs w:val="0"/>
          <w:color w:val="auto"/>
          <w:sz w:val="22"/>
          <w:szCs w:val="22"/>
          <w:lang w:eastAsia="en-US"/>
        </w:rPr>
        <w:id w:val="-1393891261"/>
        <w:docPartObj>
          <w:docPartGallery w:val="Table of Contents"/>
          <w:docPartUnique/>
        </w:docPartObj>
      </w:sdtPr>
      <w:sdtEndPr>
        <w:rPr>
          <w:noProof/>
        </w:rPr>
      </w:sdtEndPr>
      <w:sdtContent>
        <w:p w:rsidR="007C3943" w:rsidRDefault="007C3943" w:rsidP="002446CD">
          <w:pPr>
            <w:pStyle w:val="TOCHeading"/>
            <w:spacing w:before="0"/>
          </w:pPr>
        </w:p>
        <w:p w:rsidR="00907A7A" w:rsidRDefault="002446CD">
          <w:pPr>
            <w:pStyle w:val="TOC1"/>
            <w:tabs>
              <w:tab w:val="right" w:leader="dot" w:pos="935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459368430" w:history="1">
            <w:r w:rsidR="00907A7A" w:rsidRPr="004416E4">
              <w:rPr>
                <w:rStyle w:val="Hyperlink"/>
                <w:rFonts w:cs="Times New Roman"/>
                <w:noProof/>
                <w:w w:val="99"/>
              </w:rPr>
              <w:t>I.</w:t>
            </w:r>
            <w:r w:rsidR="00907A7A">
              <w:rPr>
                <w:rFonts w:asciiTheme="minorHAnsi" w:eastAsiaTheme="minorEastAsia" w:hAnsiTheme="minorHAnsi"/>
                <w:noProof/>
                <w:sz w:val="22"/>
                <w:szCs w:val="22"/>
              </w:rPr>
              <w:tab/>
            </w:r>
            <w:r w:rsidR="00907A7A" w:rsidRPr="004416E4">
              <w:rPr>
                <w:rStyle w:val="Hyperlink"/>
                <w:rFonts w:cs="Times New Roman"/>
                <w:noProof/>
              </w:rPr>
              <w:t>STATEMENT OF INTEREST</w:t>
            </w:r>
            <w:r w:rsidR="00907A7A">
              <w:rPr>
                <w:noProof/>
                <w:webHidden/>
              </w:rPr>
              <w:tab/>
            </w:r>
            <w:r w:rsidR="00907A7A">
              <w:rPr>
                <w:noProof/>
                <w:webHidden/>
              </w:rPr>
              <w:fldChar w:fldCharType="begin"/>
            </w:r>
            <w:r w:rsidR="00907A7A">
              <w:rPr>
                <w:noProof/>
                <w:webHidden/>
              </w:rPr>
              <w:instrText xml:space="preserve"> PAGEREF _Toc459368430 \h </w:instrText>
            </w:r>
            <w:r w:rsidR="00907A7A">
              <w:rPr>
                <w:noProof/>
                <w:webHidden/>
              </w:rPr>
            </w:r>
            <w:r w:rsidR="00907A7A">
              <w:rPr>
                <w:noProof/>
                <w:webHidden/>
              </w:rPr>
              <w:fldChar w:fldCharType="separate"/>
            </w:r>
            <w:r w:rsidR="00030A59">
              <w:rPr>
                <w:noProof/>
                <w:webHidden/>
              </w:rPr>
              <w:t>1</w:t>
            </w:r>
            <w:r w:rsidR="00907A7A">
              <w:rPr>
                <w:noProof/>
                <w:webHidden/>
              </w:rPr>
              <w:fldChar w:fldCharType="end"/>
            </w:r>
          </w:hyperlink>
        </w:p>
        <w:p w:rsidR="00907A7A" w:rsidRDefault="003B7D1C">
          <w:pPr>
            <w:pStyle w:val="TOC1"/>
            <w:tabs>
              <w:tab w:val="right" w:leader="dot" w:pos="9350"/>
            </w:tabs>
            <w:rPr>
              <w:rFonts w:asciiTheme="minorHAnsi" w:eastAsiaTheme="minorEastAsia" w:hAnsiTheme="minorHAnsi"/>
              <w:noProof/>
              <w:sz w:val="22"/>
              <w:szCs w:val="22"/>
            </w:rPr>
          </w:pPr>
          <w:hyperlink w:anchor="_Toc459368431" w:history="1">
            <w:r w:rsidR="00907A7A" w:rsidRPr="004416E4">
              <w:rPr>
                <w:rStyle w:val="Hyperlink"/>
                <w:rFonts w:cs="Times New Roman"/>
                <w:noProof/>
                <w:w w:val="99"/>
              </w:rPr>
              <w:t>II.</w:t>
            </w:r>
            <w:r w:rsidR="00907A7A">
              <w:rPr>
                <w:rFonts w:asciiTheme="minorHAnsi" w:eastAsiaTheme="minorEastAsia" w:hAnsiTheme="minorHAnsi"/>
                <w:noProof/>
                <w:sz w:val="22"/>
                <w:szCs w:val="22"/>
              </w:rPr>
              <w:tab/>
            </w:r>
            <w:r w:rsidR="00907A7A" w:rsidRPr="004416E4">
              <w:rPr>
                <w:rStyle w:val="Hyperlink"/>
                <w:rFonts w:cs="Times New Roman"/>
                <w:noProof/>
              </w:rPr>
              <w:t>SUMMARY ARGUMENT OF THE COMMUNITY ASSOCIATIONS INSTITUTE</w:t>
            </w:r>
            <w:r w:rsidR="00907A7A">
              <w:rPr>
                <w:noProof/>
                <w:webHidden/>
              </w:rPr>
              <w:tab/>
            </w:r>
            <w:r w:rsidR="00907A7A">
              <w:rPr>
                <w:noProof/>
                <w:webHidden/>
              </w:rPr>
              <w:fldChar w:fldCharType="begin"/>
            </w:r>
            <w:r w:rsidR="00907A7A">
              <w:rPr>
                <w:noProof/>
                <w:webHidden/>
              </w:rPr>
              <w:instrText xml:space="preserve"> PAGEREF _Toc459368431 \h </w:instrText>
            </w:r>
            <w:r w:rsidR="00907A7A">
              <w:rPr>
                <w:noProof/>
                <w:webHidden/>
              </w:rPr>
            </w:r>
            <w:r w:rsidR="00907A7A">
              <w:rPr>
                <w:noProof/>
                <w:webHidden/>
              </w:rPr>
              <w:fldChar w:fldCharType="separate"/>
            </w:r>
            <w:r w:rsidR="00030A59">
              <w:rPr>
                <w:noProof/>
                <w:webHidden/>
              </w:rPr>
              <w:t>2</w:t>
            </w:r>
            <w:r w:rsidR="00907A7A">
              <w:rPr>
                <w:noProof/>
                <w:webHidden/>
              </w:rPr>
              <w:fldChar w:fldCharType="end"/>
            </w:r>
          </w:hyperlink>
        </w:p>
        <w:p w:rsidR="00907A7A" w:rsidRDefault="003B7D1C">
          <w:pPr>
            <w:pStyle w:val="TOC1"/>
            <w:tabs>
              <w:tab w:val="right" w:leader="dot" w:pos="9350"/>
            </w:tabs>
            <w:rPr>
              <w:rFonts w:asciiTheme="minorHAnsi" w:eastAsiaTheme="minorEastAsia" w:hAnsiTheme="minorHAnsi"/>
              <w:noProof/>
              <w:sz w:val="22"/>
              <w:szCs w:val="22"/>
            </w:rPr>
          </w:pPr>
          <w:hyperlink w:anchor="_Toc459368432" w:history="1">
            <w:r w:rsidR="00907A7A" w:rsidRPr="004416E4">
              <w:rPr>
                <w:rStyle w:val="Hyperlink"/>
                <w:rFonts w:cs="Times New Roman"/>
                <w:noProof/>
                <w:w w:val="99"/>
              </w:rPr>
              <w:t>III.</w:t>
            </w:r>
            <w:r w:rsidR="00907A7A">
              <w:rPr>
                <w:rFonts w:asciiTheme="minorHAnsi" w:eastAsiaTheme="minorEastAsia" w:hAnsiTheme="minorHAnsi"/>
                <w:noProof/>
                <w:sz w:val="22"/>
                <w:szCs w:val="22"/>
              </w:rPr>
              <w:tab/>
            </w:r>
            <w:r w:rsidR="00907A7A" w:rsidRPr="004416E4">
              <w:rPr>
                <w:rStyle w:val="Hyperlink"/>
                <w:rFonts w:cs="Times New Roman"/>
                <w:noProof/>
              </w:rPr>
              <w:t>ARGUMENT</w:t>
            </w:r>
            <w:r w:rsidR="00907A7A">
              <w:rPr>
                <w:noProof/>
                <w:webHidden/>
              </w:rPr>
              <w:tab/>
            </w:r>
            <w:r w:rsidR="00907A7A">
              <w:rPr>
                <w:noProof/>
                <w:webHidden/>
              </w:rPr>
              <w:fldChar w:fldCharType="begin"/>
            </w:r>
            <w:r w:rsidR="00907A7A">
              <w:rPr>
                <w:noProof/>
                <w:webHidden/>
              </w:rPr>
              <w:instrText xml:space="preserve"> PAGEREF _Toc459368432 \h </w:instrText>
            </w:r>
            <w:r w:rsidR="00907A7A">
              <w:rPr>
                <w:noProof/>
                <w:webHidden/>
              </w:rPr>
            </w:r>
            <w:r w:rsidR="00907A7A">
              <w:rPr>
                <w:noProof/>
                <w:webHidden/>
              </w:rPr>
              <w:fldChar w:fldCharType="separate"/>
            </w:r>
            <w:r w:rsidR="00030A59">
              <w:rPr>
                <w:noProof/>
                <w:webHidden/>
              </w:rPr>
              <w:t>3</w:t>
            </w:r>
            <w:r w:rsidR="00907A7A">
              <w:rPr>
                <w:noProof/>
                <w:webHidden/>
              </w:rPr>
              <w:fldChar w:fldCharType="end"/>
            </w:r>
          </w:hyperlink>
        </w:p>
        <w:p w:rsidR="00907A7A" w:rsidRDefault="003B7D1C">
          <w:pPr>
            <w:pStyle w:val="TOC2"/>
            <w:tabs>
              <w:tab w:val="right" w:leader="dot" w:pos="9350"/>
            </w:tabs>
            <w:rPr>
              <w:rFonts w:asciiTheme="minorHAnsi" w:eastAsiaTheme="minorEastAsia" w:hAnsiTheme="minorHAnsi"/>
              <w:noProof/>
              <w:sz w:val="22"/>
              <w:szCs w:val="22"/>
            </w:rPr>
          </w:pPr>
          <w:hyperlink w:anchor="_Toc459368433" w:history="1">
            <w:r w:rsidR="00907A7A" w:rsidRPr="004416E4">
              <w:rPr>
                <w:rStyle w:val="Hyperlink"/>
                <w:rFonts w:cs="Times New Roman"/>
                <w:noProof/>
              </w:rPr>
              <w:t>A.</w:t>
            </w:r>
            <w:r w:rsidR="00907A7A">
              <w:rPr>
                <w:rFonts w:asciiTheme="minorHAnsi" w:eastAsiaTheme="minorEastAsia" w:hAnsiTheme="minorHAnsi"/>
                <w:noProof/>
                <w:sz w:val="22"/>
                <w:szCs w:val="22"/>
              </w:rPr>
              <w:tab/>
            </w:r>
            <w:r w:rsidR="00907A7A" w:rsidRPr="004416E4">
              <w:rPr>
                <w:rStyle w:val="Hyperlink"/>
                <w:rFonts w:cs="Times New Roman"/>
                <w:noProof/>
              </w:rPr>
              <w:t>INTRODUCTION</w:t>
            </w:r>
            <w:r w:rsidR="00907A7A">
              <w:rPr>
                <w:noProof/>
                <w:webHidden/>
              </w:rPr>
              <w:tab/>
            </w:r>
            <w:r w:rsidR="00907A7A">
              <w:rPr>
                <w:noProof/>
                <w:webHidden/>
              </w:rPr>
              <w:fldChar w:fldCharType="begin"/>
            </w:r>
            <w:r w:rsidR="00907A7A">
              <w:rPr>
                <w:noProof/>
                <w:webHidden/>
              </w:rPr>
              <w:instrText xml:space="preserve"> PAGEREF _Toc459368433 \h </w:instrText>
            </w:r>
            <w:r w:rsidR="00907A7A">
              <w:rPr>
                <w:noProof/>
                <w:webHidden/>
              </w:rPr>
            </w:r>
            <w:r w:rsidR="00907A7A">
              <w:rPr>
                <w:noProof/>
                <w:webHidden/>
              </w:rPr>
              <w:fldChar w:fldCharType="separate"/>
            </w:r>
            <w:r w:rsidR="00030A59">
              <w:rPr>
                <w:noProof/>
                <w:webHidden/>
              </w:rPr>
              <w:t>3</w:t>
            </w:r>
            <w:r w:rsidR="00907A7A">
              <w:rPr>
                <w:noProof/>
                <w:webHidden/>
              </w:rPr>
              <w:fldChar w:fldCharType="end"/>
            </w:r>
          </w:hyperlink>
        </w:p>
        <w:p w:rsidR="00907A7A" w:rsidRDefault="003B7D1C">
          <w:pPr>
            <w:pStyle w:val="TOC2"/>
            <w:tabs>
              <w:tab w:val="right" w:leader="dot" w:pos="9350"/>
            </w:tabs>
            <w:rPr>
              <w:rFonts w:asciiTheme="minorHAnsi" w:eastAsiaTheme="minorEastAsia" w:hAnsiTheme="minorHAnsi"/>
              <w:noProof/>
              <w:sz w:val="22"/>
              <w:szCs w:val="22"/>
            </w:rPr>
          </w:pPr>
          <w:hyperlink w:anchor="_Toc459368434" w:history="1">
            <w:r w:rsidR="00907A7A" w:rsidRPr="004416E4">
              <w:rPr>
                <w:rStyle w:val="Hyperlink"/>
                <w:rFonts w:cs="Times New Roman"/>
                <w:noProof/>
              </w:rPr>
              <w:t>B.</w:t>
            </w:r>
            <w:r w:rsidR="00907A7A">
              <w:rPr>
                <w:rFonts w:asciiTheme="minorHAnsi" w:eastAsiaTheme="minorEastAsia" w:hAnsiTheme="minorHAnsi"/>
                <w:noProof/>
                <w:sz w:val="22"/>
                <w:szCs w:val="22"/>
              </w:rPr>
              <w:tab/>
            </w:r>
            <w:r w:rsidR="00907A7A" w:rsidRPr="004416E4">
              <w:rPr>
                <w:rStyle w:val="Hyperlink"/>
                <w:rFonts w:cs="Times New Roman"/>
                <w:noProof/>
              </w:rPr>
              <w:t>AS A MATTER OF PUBLIC POLICY, C.R.S. § 38-33.3-305(1)(b) GRANTS ASSOCIATIONS THE POWER TO UNILATERALLY TERMINATE ANY CONTRACTS BETWEEN THE ASSOCIATION AND THE DECLARANT.</w:t>
            </w:r>
            <w:r w:rsidR="00907A7A">
              <w:rPr>
                <w:noProof/>
                <w:webHidden/>
              </w:rPr>
              <w:tab/>
            </w:r>
            <w:r w:rsidR="00907A7A">
              <w:rPr>
                <w:noProof/>
                <w:webHidden/>
              </w:rPr>
              <w:fldChar w:fldCharType="begin"/>
            </w:r>
            <w:r w:rsidR="00907A7A">
              <w:rPr>
                <w:noProof/>
                <w:webHidden/>
              </w:rPr>
              <w:instrText xml:space="preserve"> PAGEREF _Toc459368434 \h </w:instrText>
            </w:r>
            <w:r w:rsidR="00907A7A">
              <w:rPr>
                <w:noProof/>
                <w:webHidden/>
              </w:rPr>
            </w:r>
            <w:r w:rsidR="00907A7A">
              <w:rPr>
                <w:noProof/>
                <w:webHidden/>
              </w:rPr>
              <w:fldChar w:fldCharType="separate"/>
            </w:r>
            <w:r w:rsidR="00030A59">
              <w:rPr>
                <w:noProof/>
                <w:webHidden/>
              </w:rPr>
              <w:t>4</w:t>
            </w:r>
            <w:r w:rsidR="00907A7A">
              <w:rPr>
                <w:noProof/>
                <w:webHidden/>
              </w:rPr>
              <w:fldChar w:fldCharType="end"/>
            </w:r>
          </w:hyperlink>
        </w:p>
        <w:p w:rsidR="00907A7A" w:rsidRDefault="003B7D1C">
          <w:pPr>
            <w:pStyle w:val="TOC2"/>
            <w:tabs>
              <w:tab w:val="right" w:leader="dot" w:pos="9350"/>
            </w:tabs>
            <w:rPr>
              <w:rFonts w:asciiTheme="minorHAnsi" w:eastAsiaTheme="minorEastAsia" w:hAnsiTheme="minorHAnsi"/>
              <w:noProof/>
              <w:sz w:val="22"/>
              <w:szCs w:val="22"/>
            </w:rPr>
          </w:pPr>
          <w:hyperlink w:anchor="_Toc459368435" w:history="1">
            <w:r w:rsidR="00907A7A" w:rsidRPr="004416E4">
              <w:rPr>
                <w:rStyle w:val="Hyperlink"/>
                <w:rFonts w:cs="Times New Roman"/>
                <w:noProof/>
              </w:rPr>
              <w:t>C.</w:t>
            </w:r>
            <w:r w:rsidR="00907A7A">
              <w:rPr>
                <w:rFonts w:asciiTheme="minorHAnsi" w:eastAsiaTheme="minorEastAsia" w:hAnsiTheme="minorHAnsi"/>
                <w:noProof/>
                <w:sz w:val="22"/>
                <w:szCs w:val="22"/>
              </w:rPr>
              <w:tab/>
            </w:r>
            <w:r w:rsidR="00907A7A" w:rsidRPr="004416E4">
              <w:rPr>
                <w:rStyle w:val="Hyperlink"/>
                <w:rFonts w:cs="Times New Roman"/>
                <w:noProof/>
              </w:rPr>
              <w:t>THE COURT OF APPEALS’ OPINION IMPROPERLY GIVES UNLIMITED LICENSE TO DECLARANTS TO UNILATERALLY ADOPT PERMANENT, SELF-SERVING DECLARATIONS, IN CONTRAVENTION OF CCIOA AND THE SELF-GOVERNANCE PUBLIC POLICIES UNDERLYING THAT LAW.</w:t>
            </w:r>
            <w:r w:rsidR="00907A7A">
              <w:rPr>
                <w:noProof/>
                <w:webHidden/>
              </w:rPr>
              <w:tab/>
            </w:r>
            <w:r w:rsidR="00907A7A">
              <w:rPr>
                <w:noProof/>
                <w:webHidden/>
              </w:rPr>
              <w:fldChar w:fldCharType="begin"/>
            </w:r>
            <w:r w:rsidR="00907A7A">
              <w:rPr>
                <w:noProof/>
                <w:webHidden/>
              </w:rPr>
              <w:instrText xml:space="preserve"> PAGEREF _Toc459368435 \h </w:instrText>
            </w:r>
            <w:r w:rsidR="00907A7A">
              <w:rPr>
                <w:noProof/>
                <w:webHidden/>
              </w:rPr>
            </w:r>
            <w:r w:rsidR="00907A7A">
              <w:rPr>
                <w:noProof/>
                <w:webHidden/>
              </w:rPr>
              <w:fldChar w:fldCharType="separate"/>
            </w:r>
            <w:r w:rsidR="00030A59">
              <w:rPr>
                <w:noProof/>
                <w:webHidden/>
              </w:rPr>
              <w:t>6</w:t>
            </w:r>
            <w:r w:rsidR="00907A7A">
              <w:rPr>
                <w:noProof/>
                <w:webHidden/>
              </w:rPr>
              <w:fldChar w:fldCharType="end"/>
            </w:r>
          </w:hyperlink>
        </w:p>
        <w:p w:rsidR="00907A7A" w:rsidRDefault="003B7D1C">
          <w:pPr>
            <w:pStyle w:val="TOC2"/>
            <w:tabs>
              <w:tab w:val="right" w:leader="dot" w:pos="9350"/>
            </w:tabs>
            <w:rPr>
              <w:rFonts w:asciiTheme="minorHAnsi" w:eastAsiaTheme="minorEastAsia" w:hAnsiTheme="minorHAnsi"/>
              <w:noProof/>
              <w:sz w:val="22"/>
              <w:szCs w:val="22"/>
            </w:rPr>
          </w:pPr>
          <w:hyperlink w:anchor="_Toc459368436" w:history="1">
            <w:r w:rsidR="00907A7A" w:rsidRPr="004416E4">
              <w:rPr>
                <w:rStyle w:val="Hyperlink"/>
                <w:rFonts w:cs="Times New Roman"/>
                <w:noProof/>
              </w:rPr>
              <w:t>D.</w:t>
            </w:r>
            <w:r w:rsidR="00907A7A">
              <w:rPr>
                <w:rFonts w:asciiTheme="minorHAnsi" w:eastAsiaTheme="minorEastAsia" w:hAnsiTheme="minorHAnsi"/>
                <w:noProof/>
                <w:sz w:val="22"/>
                <w:szCs w:val="22"/>
              </w:rPr>
              <w:tab/>
            </w:r>
            <w:r w:rsidR="00907A7A" w:rsidRPr="004416E4">
              <w:rPr>
                <w:rStyle w:val="Hyperlink"/>
                <w:rFonts w:cs="Times New Roman"/>
                <w:noProof/>
              </w:rPr>
              <w:t>A DECLARANT’S RESERVATION OF A VETO POWER IN AN ASSOCIATION’S DECLARATIONS VIOLATES THE DECLARANT’S FIDUCIARY DUTY TO THE ASSOCIATION’S OWNERS.</w:t>
            </w:r>
            <w:r w:rsidR="00907A7A">
              <w:rPr>
                <w:noProof/>
                <w:webHidden/>
              </w:rPr>
              <w:tab/>
            </w:r>
            <w:r w:rsidR="00907A7A">
              <w:rPr>
                <w:noProof/>
                <w:webHidden/>
              </w:rPr>
              <w:fldChar w:fldCharType="begin"/>
            </w:r>
            <w:r w:rsidR="00907A7A">
              <w:rPr>
                <w:noProof/>
                <w:webHidden/>
              </w:rPr>
              <w:instrText xml:space="preserve"> PAGEREF _Toc459368436 \h </w:instrText>
            </w:r>
            <w:r w:rsidR="00907A7A">
              <w:rPr>
                <w:noProof/>
                <w:webHidden/>
              </w:rPr>
            </w:r>
            <w:r w:rsidR="00907A7A">
              <w:rPr>
                <w:noProof/>
                <w:webHidden/>
              </w:rPr>
              <w:fldChar w:fldCharType="separate"/>
            </w:r>
            <w:r w:rsidR="00030A59">
              <w:rPr>
                <w:noProof/>
                <w:webHidden/>
              </w:rPr>
              <w:t>7</w:t>
            </w:r>
            <w:r w:rsidR="00907A7A">
              <w:rPr>
                <w:noProof/>
                <w:webHidden/>
              </w:rPr>
              <w:fldChar w:fldCharType="end"/>
            </w:r>
          </w:hyperlink>
        </w:p>
        <w:p w:rsidR="00907A7A" w:rsidRDefault="003B7D1C">
          <w:pPr>
            <w:pStyle w:val="TOC1"/>
            <w:tabs>
              <w:tab w:val="right" w:leader="dot" w:pos="9350"/>
            </w:tabs>
            <w:rPr>
              <w:rFonts w:asciiTheme="minorHAnsi" w:eastAsiaTheme="minorEastAsia" w:hAnsiTheme="minorHAnsi"/>
              <w:noProof/>
              <w:sz w:val="22"/>
              <w:szCs w:val="22"/>
            </w:rPr>
          </w:pPr>
          <w:hyperlink w:anchor="_Toc459368437" w:history="1">
            <w:r w:rsidR="00907A7A" w:rsidRPr="004416E4">
              <w:rPr>
                <w:rStyle w:val="Hyperlink"/>
                <w:rFonts w:cs="Times New Roman"/>
                <w:noProof/>
                <w:w w:val="99"/>
              </w:rPr>
              <w:t>IV.</w:t>
            </w:r>
            <w:r w:rsidR="00907A7A">
              <w:rPr>
                <w:rFonts w:asciiTheme="minorHAnsi" w:eastAsiaTheme="minorEastAsia" w:hAnsiTheme="minorHAnsi"/>
                <w:noProof/>
                <w:sz w:val="22"/>
                <w:szCs w:val="22"/>
              </w:rPr>
              <w:tab/>
            </w:r>
            <w:r w:rsidR="00907A7A" w:rsidRPr="004416E4">
              <w:rPr>
                <w:rStyle w:val="Hyperlink"/>
                <w:rFonts w:cs="Times New Roman"/>
                <w:noProof/>
              </w:rPr>
              <w:t>CONCLUSION</w:t>
            </w:r>
            <w:r w:rsidR="00907A7A">
              <w:rPr>
                <w:noProof/>
                <w:webHidden/>
              </w:rPr>
              <w:tab/>
            </w:r>
            <w:r w:rsidR="00907A7A">
              <w:rPr>
                <w:noProof/>
                <w:webHidden/>
              </w:rPr>
              <w:fldChar w:fldCharType="begin"/>
            </w:r>
            <w:r w:rsidR="00907A7A">
              <w:rPr>
                <w:noProof/>
                <w:webHidden/>
              </w:rPr>
              <w:instrText xml:space="preserve"> PAGEREF _Toc459368437 \h </w:instrText>
            </w:r>
            <w:r w:rsidR="00907A7A">
              <w:rPr>
                <w:noProof/>
                <w:webHidden/>
              </w:rPr>
            </w:r>
            <w:r w:rsidR="00907A7A">
              <w:rPr>
                <w:noProof/>
                <w:webHidden/>
              </w:rPr>
              <w:fldChar w:fldCharType="separate"/>
            </w:r>
            <w:r w:rsidR="00030A59">
              <w:rPr>
                <w:noProof/>
                <w:webHidden/>
              </w:rPr>
              <w:t>8</w:t>
            </w:r>
            <w:r w:rsidR="00907A7A">
              <w:rPr>
                <w:noProof/>
                <w:webHidden/>
              </w:rPr>
              <w:fldChar w:fldCharType="end"/>
            </w:r>
          </w:hyperlink>
        </w:p>
        <w:p w:rsidR="00907A7A" w:rsidRDefault="003B7D1C">
          <w:pPr>
            <w:pStyle w:val="TOC1"/>
            <w:tabs>
              <w:tab w:val="right" w:leader="dot" w:pos="9350"/>
            </w:tabs>
            <w:rPr>
              <w:rFonts w:asciiTheme="minorHAnsi" w:eastAsiaTheme="minorEastAsia" w:hAnsiTheme="minorHAnsi"/>
              <w:noProof/>
              <w:sz w:val="22"/>
              <w:szCs w:val="22"/>
            </w:rPr>
          </w:pPr>
          <w:hyperlink w:anchor="_Toc459368438" w:history="1">
            <w:r w:rsidR="00907A7A" w:rsidRPr="004416E4">
              <w:rPr>
                <w:rStyle w:val="Hyperlink"/>
                <w:rFonts w:cs="Times New Roman"/>
                <w:noProof/>
              </w:rPr>
              <w:t>CERTIFICATE OF SERVICE</w:t>
            </w:r>
            <w:r w:rsidR="00907A7A">
              <w:rPr>
                <w:noProof/>
                <w:webHidden/>
              </w:rPr>
              <w:tab/>
            </w:r>
            <w:r w:rsidR="00907A7A">
              <w:rPr>
                <w:noProof/>
                <w:webHidden/>
              </w:rPr>
              <w:fldChar w:fldCharType="begin"/>
            </w:r>
            <w:r w:rsidR="00907A7A">
              <w:rPr>
                <w:noProof/>
                <w:webHidden/>
              </w:rPr>
              <w:instrText xml:space="preserve"> PAGEREF _Toc459368438 \h </w:instrText>
            </w:r>
            <w:r w:rsidR="00907A7A">
              <w:rPr>
                <w:noProof/>
                <w:webHidden/>
              </w:rPr>
            </w:r>
            <w:r w:rsidR="00907A7A">
              <w:rPr>
                <w:noProof/>
                <w:webHidden/>
              </w:rPr>
              <w:fldChar w:fldCharType="separate"/>
            </w:r>
            <w:r w:rsidR="00030A59">
              <w:rPr>
                <w:noProof/>
                <w:webHidden/>
              </w:rPr>
              <w:t>10</w:t>
            </w:r>
            <w:r w:rsidR="00907A7A">
              <w:rPr>
                <w:noProof/>
                <w:webHidden/>
              </w:rPr>
              <w:fldChar w:fldCharType="end"/>
            </w:r>
          </w:hyperlink>
        </w:p>
        <w:p w:rsidR="007C3943" w:rsidRDefault="002446CD" w:rsidP="007C3943">
          <w:pPr>
            <w:spacing w:after="240"/>
          </w:pPr>
          <w:r>
            <w:rPr>
              <w:rFonts w:ascii="Times New Roman" w:eastAsia="Times New Roman" w:hAnsi="Times New Roman"/>
              <w:sz w:val="28"/>
              <w:szCs w:val="24"/>
            </w:rPr>
            <w:fldChar w:fldCharType="end"/>
          </w:r>
        </w:p>
      </w:sdtContent>
    </w:sdt>
    <w:p w:rsidR="006A0CDE" w:rsidRPr="00E66CD9" w:rsidRDefault="00872919" w:rsidP="00E251BD">
      <w:pPr>
        <w:jc w:val="center"/>
        <w:rPr>
          <w:rFonts w:ascii="Times New Roman" w:eastAsia="Times New Roman" w:hAnsi="Times New Roman" w:cs="Times New Roman"/>
          <w:sz w:val="28"/>
          <w:szCs w:val="28"/>
        </w:rPr>
      </w:pPr>
      <w:r w:rsidRPr="00E66CD9">
        <w:rPr>
          <w:rFonts w:ascii="Times New Roman" w:hAnsi="Times New Roman" w:cs="Times New Roman"/>
          <w:sz w:val="28"/>
          <w:szCs w:val="28"/>
        </w:rPr>
        <w:br w:type="page"/>
      </w:r>
      <w:r w:rsidR="00A44455" w:rsidRPr="00E66CD9">
        <w:rPr>
          <w:rFonts w:ascii="Times New Roman" w:hAnsi="Times New Roman" w:cs="Times New Roman"/>
          <w:b/>
          <w:sz w:val="28"/>
          <w:szCs w:val="28"/>
        </w:rPr>
        <w:lastRenderedPageBreak/>
        <w:t>TABLE OF AUTHORITIES</w:t>
      </w:r>
    </w:p>
    <w:p w:rsidR="00E251BD" w:rsidRPr="006809FF" w:rsidRDefault="00A44455" w:rsidP="006809FF">
      <w:pPr>
        <w:spacing w:before="247"/>
        <w:ind w:left="100"/>
        <w:rPr>
          <w:rFonts w:ascii="Times New Roman" w:eastAsia="Times New Roman" w:hAnsi="Times New Roman" w:cs="Times New Roman"/>
          <w:sz w:val="28"/>
          <w:szCs w:val="28"/>
          <w:u w:val="single"/>
        </w:rPr>
      </w:pPr>
      <w:r w:rsidRPr="0008246B">
        <w:rPr>
          <w:rFonts w:ascii="Times New Roman" w:hAnsi="Times New Roman" w:cs="Times New Roman"/>
          <w:b/>
          <w:sz w:val="28"/>
          <w:szCs w:val="28"/>
          <w:u w:val="single"/>
        </w:rPr>
        <w:t>CASES</w:t>
      </w:r>
    </w:p>
    <w:p w:rsidR="00E251BD" w:rsidRPr="00627DB2" w:rsidRDefault="00E251BD" w:rsidP="000E75BF">
      <w:pPr>
        <w:tabs>
          <w:tab w:val="right" w:leader="dot" w:pos="9360"/>
        </w:tabs>
        <w:spacing w:before="120"/>
        <w:ind w:left="101"/>
        <w:rPr>
          <w:rFonts w:ascii="Times New Roman" w:eastAsia="Times New Roman" w:hAnsi="Times New Roman" w:cs="Times New Roman"/>
          <w:sz w:val="28"/>
          <w:szCs w:val="28"/>
        </w:rPr>
      </w:pPr>
      <w:proofErr w:type="spellStart"/>
      <w:r w:rsidRPr="00627DB2">
        <w:rPr>
          <w:rFonts w:ascii="Times New Roman" w:hAnsi="Times New Roman" w:cs="Times New Roman"/>
          <w:bCs/>
          <w:i/>
          <w:sz w:val="28"/>
          <w:szCs w:val="28"/>
        </w:rPr>
        <w:t>Ass’n</w:t>
      </w:r>
      <w:proofErr w:type="spellEnd"/>
      <w:r w:rsidRPr="00627DB2">
        <w:rPr>
          <w:rFonts w:ascii="Times New Roman" w:hAnsi="Times New Roman" w:cs="Times New Roman"/>
          <w:bCs/>
          <w:i/>
          <w:sz w:val="28"/>
          <w:szCs w:val="28"/>
        </w:rPr>
        <w:t xml:space="preserve"> of Owners, Satellite Apartment, Inc. v. </w:t>
      </w:r>
      <w:proofErr w:type="spellStart"/>
      <w:r w:rsidRPr="00627DB2">
        <w:rPr>
          <w:rFonts w:ascii="Times New Roman" w:hAnsi="Times New Roman" w:cs="Times New Roman"/>
          <w:bCs/>
          <w:i/>
          <w:sz w:val="28"/>
          <w:szCs w:val="28"/>
        </w:rPr>
        <w:t>Otte</w:t>
      </w:r>
      <w:proofErr w:type="spellEnd"/>
      <w:r w:rsidRPr="00627DB2">
        <w:rPr>
          <w:rFonts w:ascii="Times New Roman" w:hAnsi="Times New Roman" w:cs="Times New Roman"/>
          <w:bCs/>
          <w:sz w:val="28"/>
          <w:szCs w:val="28"/>
        </w:rPr>
        <w:t xml:space="preserve">, </w:t>
      </w:r>
      <w:r w:rsidR="00627DB2">
        <w:rPr>
          <w:rFonts w:ascii="Times New Roman" w:hAnsi="Times New Roman" w:cs="Times New Roman"/>
          <w:bCs/>
          <w:sz w:val="28"/>
          <w:szCs w:val="28"/>
        </w:rPr>
        <w:br/>
      </w:r>
      <w:r w:rsidRPr="00627DB2">
        <w:rPr>
          <w:rFonts w:ascii="Times New Roman" w:hAnsi="Times New Roman" w:cs="Times New Roman"/>
          <w:bCs/>
          <w:sz w:val="28"/>
          <w:szCs w:val="28"/>
        </w:rPr>
        <w:t>550 P.2d 894 (Colo. App. 1976)</w:t>
      </w:r>
      <w:r w:rsidR="000E75BF">
        <w:rPr>
          <w:rFonts w:ascii="Times New Roman" w:eastAsia="Times New Roman" w:hAnsi="Times New Roman" w:cs="Times New Roman"/>
          <w:sz w:val="28"/>
          <w:szCs w:val="28"/>
        </w:rPr>
        <w:t xml:space="preserve"> </w:t>
      </w:r>
      <w:r w:rsidR="000E75BF">
        <w:rPr>
          <w:rFonts w:ascii="Times New Roman" w:eastAsia="Times New Roman" w:hAnsi="Times New Roman" w:cs="Times New Roman"/>
          <w:sz w:val="28"/>
          <w:szCs w:val="28"/>
        </w:rPr>
        <w:tab/>
      </w:r>
      <w:r w:rsidR="00627DB2">
        <w:rPr>
          <w:rFonts w:ascii="Times New Roman" w:eastAsia="Times New Roman" w:hAnsi="Times New Roman" w:cs="Times New Roman"/>
          <w:sz w:val="28"/>
          <w:szCs w:val="28"/>
        </w:rPr>
        <w:t xml:space="preserve"> </w:t>
      </w:r>
      <w:r w:rsidRPr="00627DB2">
        <w:rPr>
          <w:rFonts w:ascii="Times New Roman" w:eastAsia="Times New Roman" w:hAnsi="Times New Roman" w:cs="Times New Roman"/>
          <w:sz w:val="28"/>
          <w:szCs w:val="28"/>
        </w:rPr>
        <w:t>8</w:t>
      </w:r>
    </w:p>
    <w:p w:rsidR="00E66CD9" w:rsidRPr="00627DB2" w:rsidRDefault="00A44455" w:rsidP="000E75BF">
      <w:pPr>
        <w:tabs>
          <w:tab w:val="right" w:leader="dot" w:pos="9360"/>
        </w:tabs>
        <w:spacing w:before="120"/>
        <w:ind w:left="101"/>
        <w:rPr>
          <w:rFonts w:ascii="Times New Roman" w:eastAsia="Times New Roman" w:hAnsi="Times New Roman" w:cs="Times New Roman"/>
          <w:sz w:val="28"/>
          <w:szCs w:val="28"/>
        </w:rPr>
      </w:pPr>
      <w:r w:rsidRPr="00627DB2">
        <w:rPr>
          <w:rFonts w:ascii="Times New Roman" w:hAnsi="Times New Roman" w:cs="Times New Roman"/>
          <w:i/>
          <w:sz w:val="28"/>
          <w:szCs w:val="28"/>
        </w:rPr>
        <w:t>River Mgmt. Corp. v. Lodge Properties Inc</w:t>
      </w:r>
      <w:r w:rsidRPr="00627DB2">
        <w:rPr>
          <w:rFonts w:ascii="Times New Roman" w:hAnsi="Times New Roman" w:cs="Times New Roman"/>
          <w:sz w:val="28"/>
          <w:szCs w:val="28"/>
        </w:rPr>
        <w:t>.,</w:t>
      </w:r>
      <w:r w:rsidR="00E66CD9" w:rsidRPr="00627DB2">
        <w:rPr>
          <w:rFonts w:ascii="Times New Roman" w:hAnsi="Times New Roman" w:cs="Times New Roman"/>
          <w:sz w:val="28"/>
          <w:szCs w:val="28"/>
        </w:rPr>
        <w:t xml:space="preserve">  </w:t>
      </w:r>
      <w:r w:rsidR="00627DB2">
        <w:rPr>
          <w:rFonts w:ascii="Times New Roman" w:hAnsi="Times New Roman" w:cs="Times New Roman"/>
          <w:sz w:val="28"/>
          <w:szCs w:val="28"/>
        </w:rPr>
        <w:br/>
      </w:r>
      <w:r w:rsidRPr="00627DB2">
        <w:rPr>
          <w:rFonts w:ascii="Times New Roman" w:hAnsi="Times New Roman" w:cs="Times New Roman"/>
          <w:sz w:val="28"/>
          <w:szCs w:val="28"/>
        </w:rPr>
        <w:t>829 P.2d 398 (Colo. App.1991)</w:t>
      </w:r>
      <w:r w:rsidR="00627DB2">
        <w:rPr>
          <w:rFonts w:ascii="Times New Roman" w:hAnsi="Times New Roman" w:cs="Times New Roman"/>
          <w:sz w:val="28"/>
          <w:szCs w:val="28"/>
        </w:rPr>
        <w:t xml:space="preserve"> </w:t>
      </w:r>
      <w:r w:rsidR="000E75BF">
        <w:rPr>
          <w:rFonts w:ascii="Times New Roman" w:eastAsia="Times New Roman" w:hAnsi="Times New Roman" w:cs="Times New Roman"/>
          <w:sz w:val="28"/>
          <w:szCs w:val="28"/>
        </w:rPr>
        <w:tab/>
      </w:r>
      <w:r w:rsidR="00E66CD9" w:rsidRPr="00627DB2">
        <w:rPr>
          <w:rFonts w:ascii="Times New Roman" w:eastAsia="Times New Roman" w:hAnsi="Times New Roman" w:cs="Times New Roman"/>
          <w:sz w:val="28"/>
          <w:szCs w:val="28"/>
        </w:rPr>
        <w:t xml:space="preserve"> </w:t>
      </w:r>
      <w:r w:rsidR="000E75BF">
        <w:rPr>
          <w:rFonts w:ascii="Times New Roman" w:eastAsia="Times New Roman" w:hAnsi="Times New Roman" w:cs="Times New Roman"/>
          <w:sz w:val="28"/>
          <w:szCs w:val="28"/>
        </w:rPr>
        <w:t>7</w:t>
      </w:r>
      <w:r w:rsidR="00627DB2">
        <w:rPr>
          <w:rFonts w:ascii="Times New Roman" w:eastAsia="Times New Roman" w:hAnsi="Times New Roman" w:cs="Times New Roman"/>
          <w:sz w:val="28"/>
          <w:szCs w:val="28"/>
        </w:rPr>
        <w:t xml:space="preserve">, </w:t>
      </w:r>
      <w:r w:rsidR="000E75BF">
        <w:rPr>
          <w:rFonts w:ascii="Times New Roman" w:eastAsia="Times New Roman" w:hAnsi="Times New Roman" w:cs="Times New Roman"/>
          <w:sz w:val="28"/>
          <w:szCs w:val="28"/>
        </w:rPr>
        <w:t>8</w:t>
      </w:r>
    </w:p>
    <w:p w:rsidR="0008246B" w:rsidRPr="00627DB2" w:rsidRDefault="0008246B" w:rsidP="00E66CD9">
      <w:pPr>
        <w:spacing w:before="120"/>
        <w:ind w:left="100"/>
        <w:rPr>
          <w:rFonts w:ascii="Times New Roman" w:eastAsia="Times New Roman" w:hAnsi="Times New Roman" w:cs="Times New Roman"/>
          <w:sz w:val="28"/>
          <w:szCs w:val="28"/>
        </w:rPr>
      </w:pPr>
    </w:p>
    <w:p w:rsidR="006A0CDE" w:rsidRPr="00627DB2" w:rsidRDefault="00A44455" w:rsidP="00E66CD9">
      <w:pPr>
        <w:spacing w:before="120"/>
        <w:ind w:left="100"/>
        <w:rPr>
          <w:rFonts w:ascii="Times New Roman" w:eastAsia="Times New Roman" w:hAnsi="Times New Roman" w:cs="Times New Roman"/>
          <w:sz w:val="28"/>
          <w:szCs w:val="28"/>
          <w:u w:val="single"/>
        </w:rPr>
      </w:pPr>
      <w:r w:rsidRPr="00627DB2">
        <w:rPr>
          <w:rFonts w:ascii="Times New Roman" w:hAnsi="Times New Roman" w:cs="Times New Roman"/>
          <w:b/>
          <w:sz w:val="28"/>
          <w:szCs w:val="28"/>
          <w:u w:val="single"/>
        </w:rPr>
        <w:t>STATUTES</w:t>
      </w:r>
    </w:p>
    <w:p w:rsidR="006A0CDE" w:rsidRPr="00627DB2" w:rsidRDefault="00A44455" w:rsidP="00DA7268">
      <w:pPr>
        <w:tabs>
          <w:tab w:val="right" w:leader="dot" w:pos="9360"/>
        </w:tabs>
        <w:spacing w:before="120"/>
        <w:ind w:left="101"/>
        <w:rPr>
          <w:rFonts w:ascii="Times New Roman" w:eastAsia="Times New Roman" w:hAnsi="Times New Roman" w:cs="Times New Roman"/>
          <w:sz w:val="28"/>
          <w:szCs w:val="28"/>
        </w:rPr>
      </w:pPr>
      <w:r w:rsidRPr="00627DB2">
        <w:rPr>
          <w:rFonts w:ascii="Times New Roman" w:eastAsia="Times New Roman" w:hAnsi="Times New Roman" w:cs="Times New Roman"/>
          <w:sz w:val="28"/>
          <w:szCs w:val="28"/>
        </w:rPr>
        <w:t>C.R.S. § 38-33.3-102(1)(c)</w:t>
      </w:r>
      <w:r w:rsidR="00E66CD9" w:rsidRPr="00627DB2">
        <w:rPr>
          <w:rFonts w:ascii="Times New Roman" w:eastAsia="Times New Roman" w:hAnsi="Times New Roman" w:cs="Times New Roman"/>
          <w:sz w:val="28"/>
          <w:szCs w:val="28"/>
        </w:rPr>
        <w:t xml:space="preserve"> </w:t>
      </w:r>
      <w:r w:rsidR="00DA7268">
        <w:rPr>
          <w:rFonts w:ascii="Times New Roman" w:eastAsia="Times New Roman" w:hAnsi="Times New Roman" w:cs="Times New Roman"/>
          <w:sz w:val="28"/>
          <w:szCs w:val="28"/>
        </w:rPr>
        <w:tab/>
        <w:t xml:space="preserve"> </w:t>
      </w:r>
      <w:r w:rsidR="00E66CD9" w:rsidRPr="00627DB2">
        <w:rPr>
          <w:rFonts w:ascii="Times New Roman" w:eastAsia="Times New Roman" w:hAnsi="Times New Roman" w:cs="Times New Roman"/>
          <w:sz w:val="28"/>
          <w:szCs w:val="28"/>
        </w:rPr>
        <w:t>3</w:t>
      </w:r>
      <w:r w:rsidR="00627DB2">
        <w:rPr>
          <w:rFonts w:ascii="Times New Roman" w:eastAsia="Times New Roman" w:hAnsi="Times New Roman" w:cs="Times New Roman"/>
          <w:sz w:val="28"/>
          <w:szCs w:val="28"/>
        </w:rPr>
        <w:t>, 4</w:t>
      </w:r>
    </w:p>
    <w:p w:rsidR="00E66CD9" w:rsidRPr="00627DB2" w:rsidRDefault="00A44455" w:rsidP="00DA7268">
      <w:pPr>
        <w:tabs>
          <w:tab w:val="right" w:leader="dot" w:pos="9360"/>
        </w:tabs>
        <w:spacing w:before="120"/>
        <w:ind w:left="101"/>
        <w:rPr>
          <w:rFonts w:ascii="Times New Roman" w:eastAsia="Times New Roman" w:hAnsi="Times New Roman" w:cs="Times New Roman"/>
          <w:sz w:val="28"/>
          <w:szCs w:val="28"/>
        </w:rPr>
      </w:pPr>
      <w:r w:rsidRPr="00627DB2">
        <w:rPr>
          <w:rFonts w:ascii="Times New Roman" w:eastAsia="Times New Roman" w:hAnsi="Times New Roman" w:cs="Times New Roman"/>
          <w:sz w:val="28"/>
          <w:szCs w:val="28"/>
        </w:rPr>
        <w:t>C.R.S. § 38-33.3-102(1)(d)</w:t>
      </w:r>
      <w:r w:rsidR="00627DB2">
        <w:rPr>
          <w:rFonts w:ascii="Times New Roman" w:eastAsia="Times New Roman" w:hAnsi="Times New Roman" w:cs="Times New Roman"/>
          <w:sz w:val="28"/>
          <w:szCs w:val="28"/>
        </w:rPr>
        <w:t xml:space="preserve"> </w:t>
      </w:r>
      <w:r w:rsidR="00DA7268">
        <w:rPr>
          <w:rFonts w:ascii="Times New Roman" w:eastAsia="Times New Roman" w:hAnsi="Times New Roman" w:cs="Times New Roman"/>
          <w:sz w:val="28"/>
          <w:szCs w:val="28"/>
        </w:rPr>
        <w:tab/>
        <w:t xml:space="preserve"> </w:t>
      </w:r>
      <w:r w:rsidR="00E66CD9" w:rsidRPr="00627DB2">
        <w:rPr>
          <w:rFonts w:ascii="Times New Roman" w:eastAsia="Times New Roman" w:hAnsi="Times New Roman" w:cs="Times New Roman"/>
          <w:sz w:val="28"/>
          <w:szCs w:val="28"/>
        </w:rPr>
        <w:t>3</w:t>
      </w:r>
      <w:r w:rsidR="00627DB2">
        <w:rPr>
          <w:rFonts w:ascii="Times New Roman" w:eastAsia="Times New Roman" w:hAnsi="Times New Roman" w:cs="Times New Roman"/>
          <w:sz w:val="28"/>
          <w:szCs w:val="28"/>
        </w:rPr>
        <w:t>, 4</w:t>
      </w:r>
    </w:p>
    <w:p w:rsidR="00627DB2" w:rsidRPr="00627DB2" w:rsidRDefault="00627DB2" w:rsidP="00DA7268">
      <w:pPr>
        <w:tabs>
          <w:tab w:val="right" w:leader="dot" w:pos="9360"/>
        </w:tabs>
        <w:spacing w:before="120"/>
        <w:ind w:left="10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C.R.S. § 38-33.3-104 </w:t>
      </w:r>
      <w:r w:rsidR="00DA7268">
        <w:rPr>
          <w:rFonts w:ascii="Times New Roman" w:eastAsia="Times New Roman" w:hAnsi="Times New Roman" w:cs="Times New Roman"/>
          <w:sz w:val="28"/>
          <w:szCs w:val="28"/>
        </w:rPr>
        <w:tab/>
        <w:t xml:space="preserve"> 2, </w:t>
      </w:r>
      <w:r w:rsidRPr="00627DB2">
        <w:rPr>
          <w:rFonts w:ascii="Times New Roman" w:eastAsia="Times New Roman" w:hAnsi="Times New Roman" w:cs="Times New Roman"/>
          <w:sz w:val="28"/>
          <w:szCs w:val="28"/>
        </w:rPr>
        <w:t>3</w:t>
      </w:r>
    </w:p>
    <w:p w:rsidR="00E66CD9" w:rsidRPr="00627DB2" w:rsidRDefault="00A44455" w:rsidP="00DA7268">
      <w:pPr>
        <w:tabs>
          <w:tab w:val="right" w:leader="dot" w:pos="9360"/>
        </w:tabs>
        <w:spacing w:before="120"/>
        <w:ind w:left="101"/>
        <w:rPr>
          <w:rFonts w:ascii="Times New Roman" w:eastAsia="Times New Roman" w:hAnsi="Times New Roman" w:cs="Times New Roman"/>
          <w:sz w:val="28"/>
          <w:szCs w:val="28"/>
        </w:rPr>
      </w:pPr>
      <w:r w:rsidRPr="00627DB2">
        <w:rPr>
          <w:rFonts w:ascii="Times New Roman" w:eastAsia="Times New Roman" w:hAnsi="Times New Roman" w:cs="Times New Roman"/>
          <w:sz w:val="28"/>
          <w:szCs w:val="28"/>
        </w:rPr>
        <w:t>C.R.S. § 38-33.3-302(2)</w:t>
      </w:r>
      <w:r w:rsidR="00DA7268">
        <w:rPr>
          <w:rFonts w:ascii="Times New Roman" w:eastAsia="Times New Roman" w:hAnsi="Times New Roman" w:cs="Times New Roman"/>
          <w:sz w:val="28"/>
          <w:szCs w:val="28"/>
        </w:rPr>
        <w:t xml:space="preserve"> </w:t>
      </w:r>
      <w:r w:rsidR="00DA7268">
        <w:rPr>
          <w:rFonts w:ascii="Times New Roman" w:eastAsia="Times New Roman" w:hAnsi="Times New Roman" w:cs="Times New Roman"/>
          <w:sz w:val="28"/>
          <w:szCs w:val="28"/>
        </w:rPr>
        <w:tab/>
        <w:t xml:space="preserve"> </w:t>
      </w:r>
      <w:r w:rsidR="00EB7FDA">
        <w:rPr>
          <w:rFonts w:ascii="Times New Roman" w:eastAsia="Times New Roman" w:hAnsi="Times New Roman" w:cs="Times New Roman"/>
          <w:sz w:val="28"/>
          <w:szCs w:val="28"/>
        </w:rPr>
        <w:t xml:space="preserve">2, </w:t>
      </w:r>
      <w:r w:rsidR="000E75BF">
        <w:rPr>
          <w:rFonts w:ascii="Times New Roman" w:eastAsia="Times New Roman" w:hAnsi="Times New Roman" w:cs="Times New Roman"/>
          <w:sz w:val="28"/>
          <w:szCs w:val="28"/>
        </w:rPr>
        <w:t>4-5, 8, 9</w:t>
      </w:r>
    </w:p>
    <w:p w:rsidR="006A0CDE" w:rsidRPr="00627DB2" w:rsidRDefault="00A44455" w:rsidP="00DA7268">
      <w:pPr>
        <w:tabs>
          <w:tab w:val="right" w:leader="dot" w:pos="9360"/>
        </w:tabs>
        <w:spacing w:before="120"/>
        <w:ind w:left="101"/>
        <w:rPr>
          <w:rFonts w:ascii="Times New Roman" w:eastAsia="Times New Roman" w:hAnsi="Times New Roman" w:cs="Times New Roman"/>
          <w:sz w:val="28"/>
          <w:szCs w:val="28"/>
        </w:rPr>
      </w:pPr>
      <w:r w:rsidRPr="00627DB2">
        <w:rPr>
          <w:rFonts w:ascii="Times New Roman" w:eastAsia="Times New Roman" w:hAnsi="Times New Roman" w:cs="Times New Roman"/>
          <w:sz w:val="28"/>
          <w:szCs w:val="28"/>
        </w:rPr>
        <w:t>C.R.S. § 38-33.3-303(2)(a)</w:t>
      </w:r>
      <w:r w:rsidR="00DA7268">
        <w:rPr>
          <w:rFonts w:ascii="Times New Roman" w:eastAsia="Times New Roman" w:hAnsi="Times New Roman" w:cs="Times New Roman"/>
          <w:sz w:val="28"/>
          <w:szCs w:val="28"/>
        </w:rPr>
        <w:t xml:space="preserve"> </w:t>
      </w:r>
      <w:r w:rsidRPr="00627DB2">
        <w:rPr>
          <w:rFonts w:ascii="Times New Roman" w:eastAsia="Times New Roman" w:hAnsi="Times New Roman" w:cs="Times New Roman"/>
          <w:sz w:val="28"/>
          <w:szCs w:val="28"/>
        </w:rPr>
        <w:tab/>
      </w:r>
      <w:r w:rsidR="000E75BF">
        <w:rPr>
          <w:rFonts w:ascii="Times New Roman" w:eastAsia="Times New Roman" w:hAnsi="Times New Roman" w:cs="Times New Roman"/>
          <w:sz w:val="28"/>
          <w:szCs w:val="28"/>
        </w:rPr>
        <w:t>8</w:t>
      </w:r>
    </w:p>
    <w:p w:rsidR="0008246B" w:rsidRPr="00627DB2" w:rsidRDefault="00A44455" w:rsidP="00DA7268">
      <w:pPr>
        <w:tabs>
          <w:tab w:val="right" w:leader="dot" w:pos="9360"/>
        </w:tabs>
        <w:spacing w:before="120"/>
        <w:ind w:left="101"/>
        <w:rPr>
          <w:rFonts w:ascii="Times New Roman" w:eastAsia="Times New Roman" w:hAnsi="Times New Roman" w:cs="Times New Roman"/>
          <w:sz w:val="28"/>
          <w:szCs w:val="28"/>
        </w:rPr>
      </w:pPr>
      <w:r w:rsidRPr="00627DB2">
        <w:rPr>
          <w:rFonts w:ascii="Times New Roman" w:eastAsia="Times New Roman" w:hAnsi="Times New Roman" w:cs="Times New Roman"/>
          <w:sz w:val="28"/>
          <w:szCs w:val="28"/>
        </w:rPr>
        <w:t>C.R.S. § 38-33.3-</w:t>
      </w:r>
      <w:r w:rsidR="0008246B" w:rsidRPr="00627DB2">
        <w:rPr>
          <w:rFonts w:ascii="Times New Roman" w:eastAsia="Times New Roman" w:hAnsi="Times New Roman" w:cs="Times New Roman"/>
          <w:sz w:val="28"/>
          <w:szCs w:val="28"/>
        </w:rPr>
        <w:t>303</w:t>
      </w:r>
      <w:r w:rsidRPr="00627DB2">
        <w:rPr>
          <w:rFonts w:ascii="Times New Roman" w:eastAsia="Times New Roman" w:hAnsi="Times New Roman" w:cs="Times New Roman"/>
          <w:sz w:val="28"/>
          <w:szCs w:val="28"/>
        </w:rPr>
        <w:t>(5)(a)(I)</w:t>
      </w:r>
      <w:r w:rsidR="0008246B" w:rsidRPr="00627DB2">
        <w:rPr>
          <w:rFonts w:ascii="Times New Roman" w:eastAsia="Times New Roman" w:hAnsi="Times New Roman" w:cs="Times New Roman"/>
          <w:sz w:val="28"/>
          <w:szCs w:val="28"/>
        </w:rPr>
        <w:t xml:space="preserve"> </w:t>
      </w:r>
      <w:r w:rsidR="0008246B" w:rsidRPr="00627DB2">
        <w:rPr>
          <w:rFonts w:ascii="Times New Roman" w:eastAsia="Times New Roman" w:hAnsi="Times New Roman" w:cs="Times New Roman"/>
          <w:sz w:val="28"/>
          <w:szCs w:val="28"/>
        </w:rPr>
        <w:tab/>
      </w:r>
      <w:r w:rsidR="000E75BF">
        <w:rPr>
          <w:rFonts w:ascii="Times New Roman" w:eastAsia="Times New Roman" w:hAnsi="Times New Roman" w:cs="Times New Roman"/>
          <w:sz w:val="28"/>
          <w:szCs w:val="28"/>
        </w:rPr>
        <w:t>7</w:t>
      </w:r>
    </w:p>
    <w:p w:rsidR="006A0CDE" w:rsidRPr="00627DB2" w:rsidRDefault="00A44455" w:rsidP="00DA7268">
      <w:pPr>
        <w:tabs>
          <w:tab w:val="right" w:leader="dot" w:pos="9360"/>
        </w:tabs>
        <w:spacing w:before="120"/>
        <w:ind w:left="101"/>
        <w:rPr>
          <w:rFonts w:ascii="Times New Roman" w:eastAsia="Times New Roman" w:hAnsi="Times New Roman" w:cs="Times New Roman"/>
          <w:sz w:val="28"/>
          <w:szCs w:val="28"/>
        </w:rPr>
      </w:pPr>
      <w:r w:rsidRPr="00627DB2">
        <w:rPr>
          <w:rFonts w:ascii="Times New Roman" w:eastAsia="Times New Roman" w:hAnsi="Times New Roman" w:cs="Times New Roman"/>
          <w:sz w:val="28"/>
          <w:szCs w:val="28"/>
        </w:rPr>
        <w:t>C.R.S. § 38-33.3-304(5)(b)(2)(C)</w:t>
      </w:r>
      <w:r w:rsidR="00DA7268">
        <w:rPr>
          <w:rFonts w:ascii="Times New Roman" w:eastAsia="Times New Roman" w:hAnsi="Times New Roman" w:cs="Times New Roman"/>
          <w:sz w:val="28"/>
          <w:szCs w:val="28"/>
        </w:rPr>
        <w:t xml:space="preserve"> </w:t>
      </w:r>
      <w:r w:rsidRPr="00627DB2">
        <w:rPr>
          <w:rFonts w:ascii="Times New Roman" w:eastAsia="Times New Roman" w:hAnsi="Times New Roman" w:cs="Times New Roman"/>
          <w:sz w:val="28"/>
          <w:szCs w:val="28"/>
        </w:rPr>
        <w:tab/>
      </w:r>
      <w:r w:rsidR="000E75BF">
        <w:rPr>
          <w:rFonts w:ascii="Times New Roman" w:eastAsia="Times New Roman" w:hAnsi="Times New Roman" w:cs="Times New Roman"/>
          <w:sz w:val="28"/>
          <w:szCs w:val="28"/>
        </w:rPr>
        <w:t>8</w:t>
      </w:r>
    </w:p>
    <w:p w:rsidR="006A0CDE" w:rsidRPr="00627DB2" w:rsidRDefault="00A44455" w:rsidP="00DA7268">
      <w:pPr>
        <w:tabs>
          <w:tab w:val="right" w:leader="dot" w:pos="9360"/>
        </w:tabs>
        <w:spacing w:before="120"/>
        <w:ind w:left="101"/>
        <w:rPr>
          <w:rFonts w:ascii="Times New Roman" w:eastAsia="Times New Roman" w:hAnsi="Times New Roman" w:cs="Times New Roman"/>
          <w:sz w:val="28"/>
          <w:szCs w:val="28"/>
        </w:rPr>
      </w:pPr>
      <w:r w:rsidRPr="00627DB2">
        <w:rPr>
          <w:rFonts w:ascii="Times New Roman" w:eastAsia="Times New Roman" w:hAnsi="Times New Roman" w:cs="Times New Roman"/>
          <w:sz w:val="28"/>
          <w:szCs w:val="28"/>
        </w:rPr>
        <w:t>C.R.S. § 38-33.3-305(1)(B)</w:t>
      </w:r>
      <w:r w:rsidR="00DA7268">
        <w:rPr>
          <w:rFonts w:ascii="Times New Roman" w:eastAsia="Times New Roman" w:hAnsi="Times New Roman" w:cs="Times New Roman"/>
          <w:sz w:val="28"/>
          <w:szCs w:val="28"/>
        </w:rPr>
        <w:t xml:space="preserve"> </w:t>
      </w:r>
      <w:r w:rsidR="00DA7268">
        <w:rPr>
          <w:rFonts w:ascii="Times New Roman" w:eastAsia="Times New Roman" w:hAnsi="Times New Roman" w:cs="Times New Roman"/>
          <w:sz w:val="28"/>
          <w:szCs w:val="28"/>
        </w:rPr>
        <w:tab/>
      </w:r>
      <w:r w:rsidRPr="00627DB2">
        <w:rPr>
          <w:rFonts w:ascii="Times New Roman" w:eastAsia="Times New Roman" w:hAnsi="Times New Roman" w:cs="Times New Roman"/>
          <w:sz w:val="28"/>
          <w:szCs w:val="28"/>
        </w:rPr>
        <w:t xml:space="preserve"> </w:t>
      </w:r>
      <w:r w:rsidR="000E75BF">
        <w:rPr>
          <w:rFonts w:ascii="Times New Roman" w:eastAsia="Times New Roman" w:hAnsi="Times New Roman" w:cs="Times New Roman"/>
          <w:sz w:val="28"/>
          <w:szCs w:val="28"/>
        </w:rPr>
        <w:t>5-6, 9</w:t>
      </w:r>
    </w:p>
    <w:p w:rsidR="00FA5B08" w:rsidRPr="00627DB2" w:rsidRDefault="00FA5B08">
      <w:pPr>
        <w:spacing w:before="120"/>
        <w:ind w:left="100"/>
        <w:rPr>
          <w:rFonts w:ascii="Times New Roman" w:eastAsia="Times New Roman" w:hAnsi="Times New Roman" w:cs="Times New Roman"/>
          <w:sz w:val="28"/>
          <w:szCs w:val="28"/>
        </w:rPr>
      </w:pPr>
    </w:p>
    <w:p w:rsidR="0008246B" w:rsidRPr="00627DB2" w:rsidRDefault="00FA5B08" w:rsidP="006809FF">
      <w:pPr>
        <w:spacing w:before="122"/>
        <w:ind w:left="90"/>
        <w:rPr>
          <w:rFonts w:ascii="Times New Roman" w:hAnsi="Times New Roman" w:cs="Times New Roman"/>
          <w:b/>
          <w:sz w:val="28"/>
          <w:szCs w:val="28"/>
          <w:u w:val="single"/>
        </w:rPr>
      </w:pPr>
      <w:r w:rsidRPr="00627DB2">
        <w:rPr>
          <w:rFonts w:ascii="Times New Roman" w:hAnsi="Times New Roman" w:cs="Times New Roman"/>
          <w:b/>
          <w:sz w:val="28"/>
          <w:szCs w:val="28"/>
          <w:u w:val="single"/>
        </w:rPr>
        <w:t>OTHER AUTHORITY</w:t>
      </w:r>
    </w:p>
    <w:p w:rsidR="000E75BF" w:rsidRDefault="000E75BF" w:rsidP="00DA7268">
      <w:pPr>
        <w:tabs>
          <w:tab w:val="right" w:leader="dot" w:pos="9360"/>
        </w:tabs>
        <w:spacing w:before="120"/>
        <w:ind w:left="101"/>
        <w:rPr>
          <w:rFonts w:ascii="Times New Roman" w:hAnsi="Times New Roman" w:cs="Times New Roman"/>
          <w:spacing w:val="-2"/>
          <w:sz w:val="28"/>
          <w:szCs w:val="28"/>
        </w:rPr>
      </w:pPr>
      <w:r>
        <w:rPr>
          <w:rFonts w:ascii="Times New Roman" w:hAnsi="Times New Roman" w:cs="Times New Roman"/>
          <w:spacing w:val="-2"/>
          <w:sz w:val="28"/>
          <w:szCs w:val="28"/>
        </w:rPr>
        <w:t>Senate Bill 100 (2005)</w:t>
      </w:r>
      <w:r>
        <w:rPr>
          <w:rFonts w:ascii="Times New Roman" w:hAnsi="Times New Roman" w:cs="Times New Roman"/>
          <w:spacing w:val="-2"/>
          <w:sz w:val="28"/>
          <w:szCs w:val="28"/>
        </w:rPr>
        <w:tab/>
        <w:t xml:space="preserve"> 2</w:t>
      </w:r>
    </w:p>
    <w:p w:rsidR="000E75BF" w:rsidRDefault="000E75BF" w:rsidP="00DA7268">
      <w:pPr>
        <w:tabs>
          <w:tab w:val="right" w:leader="dot" w:pos="9360"/>
        </w:tabs>
        <w:spacing w:before="120"/>
        <w:ind w:left="101"/>
        <w:rPr>
          <w:rFonts w:ascii="Times New Roman" w:hAnsi="Times New Roman" w:cs="Times New Roman"/>
          <w:spacing w:val="-2"/>
          <w:sz w:val="28"/>
          <w:szCs w:val="28"/>
        </w:rPr>
      </w:pPr>
      <w:r>
        <w:rPr>
          <w:rFonts w:ascii="Times New Roman" w:hAnsi="Times New Roman" w:cs="Times New Roman"/>
          <w:spacing w:val="-2"/>
          <w:sz w:val="28"/>
          <w:szCs w:val="28"/>
        </w:rPr>
        <w:t xml:space="preserve">Senate Bill 89 (2006) </w:t>
      </w:r>
      <w:r>
        <w:rPr>
          <w:rFonts w:ascii="Times New Roman" w:hAnsi="Times New Roman" w:cs="Times New Roman"/>
          <w:spacing w:val="-2"/>
          <w:sz w:val="28"/>
          <w:szCs w:val="28"/>
        </w:rPr>
        <w:tab/>
        <w:t xml:space="preserve"> 2</w:t>
      </w:r>
    </w:p>
    <w:p w:rsidR="00DA7268" w:rsidRDefault="00DA7268" w:rsidP="00DA7268">
      <w:pPr>
        <w:tabs>
          <w:tab w:val="right" w:leader="dot" w:pos="9360"/>
        </w:tabs>
        <w:spacing w:before="120"/>
        <w:ind w:left="101"/>
        <w:rPr>
          <w:rFonts w:ascii="Times New Roman" w:hAnsi="Times New Roman" w:cs="Times New Roman"/>
          <w:spacing w:val="-2"/>
          <w:sz w:val="28"/>
          <w:szCs w:val="28"/>
        </w:rPr>
      </w:pPr>
      <w:r>
        <w:rPr>
          <w:rFonts w:ascii="Times New Roman" w:hAnsi="Times New Roman" w:cs="Times New Roman"/>
          <w:spacing w:val="-2"/>
          <w:sz w:val="28"/>
          <w:szCs w:val="28"/>
        </w:rPr>
        <w:t xml:space="preserve">Uniform Common Interest Ownership Act, §1-104, </w:t>
      </w:r>
      <w:proofErr w:type="spellStart"/>
      <w:r>
        <w:rPr>
          <w:rFonts w:ascii="Times New Roman" w:hAnsi="Times New Roman" w:cs="Times New Roman"/>
          <w:spacing w:val="-2"/>
          <w:sz w:val="28"/>
          <w:szCs w:val="28"/>
        </w:rPr>
        <w:t>cmt</w:t>
      </w:r>
      <w:proofErr w:type="spellEnd"/>
      <w:r>
        <w:rPr>
          <w:rFonts w:ascii="Times New Roman" w:hAnsi="Times New Roman" w:cs="Times New Roman"/>
          <w:spacing w:val="-2"/>
          <w:sz w:val="28"/>
          <w:szCs w:val="28"/>
        </w:rPr>
        <w:t xml:space="preserve">. 2 </w:t>
      </w:r>
      <w:r>
        <w:rPr>
          <w:rFonts w:ascii="Times New Roman" w:hAnsi="Times New Roman" w:cs="Times New Roman"/>
          <w:spacing w:val="-2"/>
          <w:sz w:val="28"/>
          <w:szCs w:val="28"/>
        </w:rPr>
        <w:tab/>
        <w:t xml:space="preserve"> 3</w:t>
      </w:r>
    </w:p>
    <w:p w:rsidR="00DA7268" w:rsidRDefault="00DA7268" w:rsidP="00DA7268">
      <w:pPr>
        <w:tabs>
          <w:tab w:val="right" w:leader="dot" w:pos="9360"/>
        </w:tabs>
        <w:spacing w:before="120"/>
        <w:ind w:left="101"/>
        <w:rPr>
          <w:rFonts w:ascii="Times New Roman" w:hAnsi="Times New Roman" w:cs="Times New Roman"/>
          <w:spacing w:val="-2"/>
          <w:sz w:val="28"/>
          <w:szCs w:val="28"/>
        </w:rPr>
      </w:pPr>
      <w:r>
        <w:rPr>
          <w:rFonts w:ascii="Times New Roman" w:hAnsi="Times New Roman" w:cs="Times New Roman"/>
          <w:spacing w:val="-2"/>
          <w:sz w:val="28"/>
          <w:szCs w:val="28"/>
        </w:rPr>
        <w:t xml:space="preserve">Uniform Common Interest Ownership Act, §3-105, </w:t>
      </w:r>
      <w:proofErr w:type="spellStart"/>
      <w:r>
        <w:rPr>
          <w:rFonts w:ascii="Times New Roman" w:hAnsi="Times New Roman" w:cs="Times New Roman"/>
          <w:spacing w:val="-2"/>
          <w:sz w:val="28"/>
          <w:szCs w:val="28"/>
        </w:rPr>
        <w:t>cmt</w:t>
      </w:r>
      <w:proofErr w:type="spellEnd"/>
      <w:r>
        <w:rPr>
          <w:rFonts w:ascii="Times New Roman" w:hAnsi="Times New Roman" w:cs="Times New Roman"/>
          <w:spacing w:val="-2"/>
          <w:sz w:val="28"/>
          <w:szCs w:val="28"/>
        </w:rPr>
        <w:t xml:space="preserve">. 1 </w:t>
      </w:r>
      <w:r>
        <w:rPr>
          <w:rFonts w:ascii="Times New Roman" w:hAnsi="Times New Roman" w:cs="Times New Roman"/>
          <w:spacing w:val="-2"/>
          <w:sz w:val="28"/>
          <w:szCs w:val="28"/>
        </w:rPr>
        <w:tab/>
        <w:t xml:space="preserve"> </w:t>
      </w:r>
      <w:r w:rsidR="000E75BF">
        <w:rPr>
          <w:rFonts w:ascii="Times New Roman" w:hAnsi="Times New Roman" w:cs="Times New Roman"/>
          <w:spacing w:val="-2"/>
          <w:sz w:val="28"/>
          <w:szCs w:val="28"/>
        </w:rPr>
        <w:t>5-6</w:t>
      </w:r>
    </w:p>
    <w:p w:rsidR="00872919" w:rsidRPr="00E66CD9" w:rsidRDefault="00872919" w:rsidP="00E66CD9">
      <w:pPr>
        <w:tabs>
          <w:tab w:val="left" w:leader="dot" w:pos="9330"/>
        </w:tabs>
        <w:spacing w:before="117"/>
        <w:ind w:left="100"/>
        <w:rPr>
          <w:rFonts w:ascii="Times New Roman" w:eastAsia="Times New Roman" w:hAnsi="Times New Roman" w:cs="Times New Roman"/>
          <w:sz w:val="28"/>
          <w:szCs w:val="28"/>
        </w:rPr>
      </w:pPr>
    </w:p>
    <w:p w:rsidR="00C51113" w:rsidRPr="00E66CD9" w:rsidRDefault="00C51113" w:rsidP="00872919">
      <w:pPr>
        <w:pStyle w:val="Heading1"/>
        <w:numPr>
          <w:ilvl w:val="0"/>
          <w:numId w:val="3"/>
        </w:numPr>
        <w:tabs>
          <w:tab w:val="left" w:pos="3012"/>
        </w:tabs>
        <w:spacing w:after="240"/>
        <w:ind w:hanging="1281"/>
        <w:jc w:val="left"/>
        <w:rPr>
          <w:rFonts w:cs="Times New Roman"/>
        </w:rPr>
        <w:sectPr w:rsidR="00C51113" w:rsidRPr="00E66CD9" w:rsidSect="003403F3">
          <w:footerReference w:type="default" r:id="rId9"/>
          <w:type w:val="continuous"/>
          <w:pgSz w:w="12240" w:h="15840"/>
          <w:pgMar w:top="2160" w:right="1440" w:bottom="1440" w:left="1440" w:header="720" w:footer="720" w:gutter="0"/>
          <w:pgNumType w:fmt="lowerRoman" w:start="1"/>
          <w:cols w:space="720"/>
          <w:titlePg/>
          <w:docGrid w:linePitch="299"/>
        </w:sectPr>
      </w:pPr>
    </w:p>
    <w:p w:rsidR="006A0CDE" w:rsidRPr="00E66CD9" w:rsidRDefault="00A44455" w:rsidP="00872919">
      <w:pPr>
        <w:pStyle w:val="Heading1"/>
        <w:numPr>
          <w:ilvl w:val="0"/>
          <w:numId w:val="3"/>
        </w:numPr>
        <w:tabs>
          <w:tab w:val="left" w:pos="3012"/>
        </w:tabs>
        <w:spacing w:after="240"/>
        <w:ind w:hanging="1281"/>
        <w:jc w:val="left"/>
        <w:rPr>
          <w:rFonts w:cs="Times New Roman"/>
          <w:b w:val="0"/>
          <w:bCs w:val="0"/>
        </w:rPr>
      </w:pPr>
      <w:bookmarkStart w:id="1" w:name="_Toc459368430"/>
      <w:r w:rsidRPr="00E66CD9">
        <w:rPr>
          <w:rFonts w:cs="Times New Roman"/>
        </w:rPr>
        <w:lastRenderedPageBreak/>
        <w:t>STATEMENT OF INTEREST</w:t>
      </w:r>
      <w:bookmarkEnd w:id="1"/>
    </w:p>
    <w:p w:rsidR="006A0CDE" w:rsidRPr="00E66CD9" w:rsidRDefault="00A44455" w:rsidP="00872919">
      <w:pPr>
        <w:pStyle w:val="BodyText"/>
      </w:pPr>
      <w:r w:rsidRPr="00E66CD9">
        <w:t xml:space="preserve">For over twenty years, the Colorado Common Interest Ownership Act (“CCIOA” or the “Act”) has allowed homeowner </w:t>
      </w:r>
      <w:r w:rsidR="009E0109">
        <w:t xml:space="preserve">(unit owner) </w:t>
      </w:r>
      <w:r w:rsidRPr="00E66CD9">
        <w:t xml:space="preserve">associations to amend their declarations and other operational documents upon their members’ written agreement. Colorado law and public policy favoring community associations’ self- governance strongly support this right. For these reasons, </w:t>
      </w:r>
      <w:r w:rsidRPr="002446CD">
        <w:rPr>
          <w:noProof/>
        </w:rPr>
        <w:t>CAI</w:t>
      </w:r>
      <w:r w:rsidRPr="00E66CD9">
        <w:t xml:space="preserve"> and its members have a </w:t>
      </w:r>
      <w:r w:rsidRPr="002446CD">
        <w:rPr>
          <w:noProof/>
        </w:rPr>
        <w:t>strong</w:t>
      </w:r>
      <w:r w:rsidRPr="00E66CD9">
        <w:t xml:space="preserve"> interest in the issues presented here and ask this Court to uphold the district court’s ruling.</w:t>
      </w:r>
    </w:p>
    <w:p w:rsidR="006A0CDE" w:rsidRPr="00E66CD9" w:rsidRDefault="00A44455" w:rsidP="00872919">
      <w:pPr>
        <w:pStyle w:val="BodyText"/>
      </w:pPr>
      <w:r w:rsidRPr="00E66CD9">
        <w:t xml:space="preserve">CAI is a national organization dedicated to fostering vibrant, competent, and harmonious community associations. Founded in 1973, CAI is the leading provider of education and resources to the volunteer homeowners who govern community associations and the professionals who support them. </w:t>
      </w:r>
      <w:r w:rsidR="002446CD" w:rsidRPr="00E66CD9">
        <w:t>CAI’s members include volunteer community leaders, professional managers, attorneys, contractors, developers, and others who provide community association products and services.</w:t>
      </w:r>
    </w:p>
    <w:p w:rsidR="006A0CDE" w:rsidRPr="00E66CD9" w:rsidRDefault="00A44455" w:rsidP="00872919">
      <w:pPr>
        <w:pStyle w:val="BodyText"/>
      </w:pPr>
      <w:r w:rsidRPr="00E66CD9">
        <w:t xml:space="preserve">Colorado </w:t>
      </w:r>
      <w:r w:rsidR="00872919" w:rsidRPr="00E66CD9">
        <w:t xml:space="preserve">has </w:t>
      </w:r>
      <w:r w:rsidR="00A76242" w:rsidRPr="00E66CD9">
        <w:t xml:space="preserve">about </w:t>
      </w:r>
      <w:r w:rsidRPr="00E66CD9">
        <w:t xml:space="preserve">9,200 community associations </w:t>
      </w:r>
      <w:r w:rsidR="00872919" w:rsidRPr="00E66CD9">
        <w:t>comprised of</w:t>
      </w:r>
      <w:r w:rsidRPr="00E66CD9">
        <w:t xml:space="preserve"> homes to over 1.8 million residents. CAI has two Colorado chapters and sponsors a statewide legislative action committee to represent its Colorado members’ interests</w:t>
      </w:r>
      <w:r w:rsidR="00872919" w:rsidRPr="00E66CD9">
        <w:t xml:space="preserve"> </w:t>
      </w:r>
      <w:r w:rsidRPr="00E66CD9">
        <w:t>regarding legislative, regulatory, and judicial activities relevant to creating and operating community associations.</w:t>
      </w:r>
    </w:p>
    <w:p w:rsidR="00872919" w:rsidRPr="00E66CD9" w:rsidRDefault="00A44455" w:rsidP="00872919">
      <w:pPr>
        <w:pStyle w:val="BodyText"/>
      </w:pPr>
      <w:r w:rsidRPr="00E66CD9">
        <w:lastRenderedPageBreak/>
        <w:t>In 1991, CAI was instrumental in drafting CCIOA and advocating for its passage in the General Assembly.</w:t>
      </w:r>
      <w:r w:rsidR="00872919" w:rsidRPr="00E66CD9">
        <w:t xml:space="preserve"> Since then, CAI has </w:t>
      </w:r>
      <w:r w:rsidR="00872919" w:rsidRPr="002446CD">
        <w:rPr>
          <w:noProof/>
        </w:rPr>
        <w:t>been regularly involved</w:t>
      </w:r>
      <w:r w:rsidR="00872919" w:rsidRPr="00E66CD9">
        <w:t xml:space="preserve"> </w:t>
      </w:r>
      <w:r w:rsidR="0008246B">
        <w:t xml:space="preserve">with CCIOA </w:t>
      </w:r>
      <w:r w:rsidR="00872919" w:rsidRPr="00E66CD9">
        <w:t xml:space="preserve">amendments. Those include amendments </w:t>
      </w:r>
      <w:r w:rsidR="00A76242" w:rsidRPr="00E66CD9">
        <w:t xml:space="preserve">provided for </w:t>
      </w:r>
      <w:r w:rsidR="00872919" w:rsidRPr="00E66CD9">
        <w:t>in Senate Bill 100 (2005) and clean-up legislation the following year in Senate Bill 89 (2006). Those amendments granted associations greater flexibility and power to amend their declarations. SB 100 established a public policy limiting the supermajority required to amend declarations to 67%</w:t>
      </w:r>
      <w:r w:rsidR="0008246B">
        <w:t>.</w:t>
      </w:r>
      <w:r w:rsidR="00872919" w:rsidRPr="00E66CD9">
        <w:t xml:space="preserve"> SB 89 only excused this requirement </w:t>
      </w:r>
      <w:r w:rsidR="00A76242" w:rsidRPr="00E66CD9">
        <w:t xml:space="preserve">under </w:t>
      </w:r>
      <w:r w:rsidR="00872919" w:rsidRPr="00E66CD9">
        <w:t xml:space="preserve">narrow circumstances not </w:t>
      </w:r>
      <w:r w:rsidR="00A76242" w:rsidRPr="00E66CD9">
        <w:t xml:space="preserve">present </w:t>
      </w:r>
      <w:r w:rsidR="00872919" w:rsidRPr="00E66CD9">
        <w:t xml:space="preserve">here. </w:t>
      </w:r>
    </w:p>
    <w:p w:rsidR="006A0CDE" w:rsidRPr="00E66CD9" w:rsidRDefault="00872919" w:rsidP="00872919">
      <w:pPr>
        <w:pStyle w:val="BodyText"/>
      </w:pPr>
      <w:r w:rsidRPr="00E66CD9">
        <w:t xml:space="preserve">CAI’s involvement in the development of the statutes governing and limiting declarant rights makes it uniquely suited to assist the Court in understanding the policies underlying the </w:t>
      </w:r>
      <w:r w:rsidR="00E8147F">
        <w:t xml:space="preserve">CCIOA provisions </w:t>
      </w:r>
      <w:r w:rsidRPr="00E66CD9">
        <w:t xml:space="preserve">at issue here. </w:t>
      </w:r>
      <w:r w:rsidR="00A44455" w:rsidRPr="00E66CD9">
        <w:t xml:space="preserve">Because </w:t>
      </w:r>
      <w:r w:rsidRPr="00E66CD9">
        <w:t xml:space="preserve">some of </w:t>
      </w:r>
      <w:r w:rsidR="00A44455" w:rsidRPr="00E66CD9">
        <w:t>th</w:t>
      </w:r>
      <w:r w:rsidR="00E8147F">
        <w:t>is ca</w:t>
      </w:r>
      <w:r w:rsidR="003755FA">
        <w:t>s</w:t>
      </w:r>
      <w:r w:rsidR="00E8147F">
        <w:t xml:space="preserve">e’s </w:t>
      </w:r>
      <w:r w:rsidR="00A44455" w:rsidRPr="00E66CD9">
        <w:t xml:space="preserve">central arguments turn on CCIOA’s interpretation, CAI is </w:t>
      </w:r>
      <w:r w:rsidR="00E8147F">
        <w:t xml:space="preserve">especially </w:t>
      </w:r>
      <w:r w:rsidR="00A44455" w:rsidRPr="00E66CD9">
        <w:t xml:space="preserve">suited to </w:t>
      </w:r>
      <w:r w:rsidRPr="00E66CD9">
        <w:t xml:space="preserve">assist </w:t>
      </w:r>
      <w:r w:rsidR="00A44455" w:rsidRPr="00E66CD9">
        <w:t xml:space="preserve">this Court as an </w:t>
      </w:r>
      <w:r w:rsidR="00A44455" w:rsidRPr="00E66CD9">
        <w:rPr>
          <w:i/>
        </w:rPr>
        <w:t xml:space="preserve">amicus curiae </w:t>
      </w:r>
      <w:r w:rsidR="00A44455" w:rsidRPr="00E66CD9">
        <w:t xml:space="preserve">under C.A.R. 29 concerning both CCIOA’s intent and the </w:t>
      </w:r>
      <w:r w:rsidR="00A44455" w:rsidRPr="002446CD">
        <w:rPr>
          <w:noProof/>
        </w:rPr>
        <w:t>negative</w:t>
      </w:r>
      <w:r w:rsidR="00A44455" w:rsidRPr="00E66CD9">
        <w:t xml:space="preserve"> effect </w:t>
      </w:r>
      <w:r w:rsidRPr="00E66CD9">
        <w:t xml:space="preserve">that </w:t>
      </w:r>
      <w:r w:rsidR="00C85FD7">
        <w:t xml:space="preserve">the Court of Appeal’s decision is having and </w:t>
      </w:r>
      <w:r w:rsidR="00A44455" w:rsidRPr="00E66CD9">
        <w:t xml:space="preserve">would </w:t>
      </w:r>
      <w:r w:rsidR="00C85FD7">
        <w:t xml:space="preserve">continue to </w:t>
      </w:r>
      <w:r w:rsidR="00A44455" w:rsidRPr="00E66CD9">
        <w:t xml:space="preserve">have on </w:t>
      </w:r>
      <w:r w:rsidRPr="00E66CD9">
        <w:t xml:space="preserve">Colorado </w:t>
      </w:r>
      <w:r w:rsidR="00A44455" w:rsidRPr="00E66CD9">
        <w:t>community associations</w:t>
      </w:r>
      <w:r w:rsidRPr="00E66CD9">
        <w:t>.</w:t>
      </w:r>
    </w:p>
    <w:p w:rsidR="006A0CDE" w:rsidRPr="00E66CD9" w:rsidRDefault="00A44455" w:rsidP="00C85FD7">
      <w:pPr>
        <w:pStyle w:val="Heading1"/>
        <w:numPr>
          <w:ilvl w:val="0"/>
          <w:numId w:val="3"/>
        </w:numPr>
        <w:spacing w:after="240" w:line="280" w:lineRule="exact"/>
        <w:ind w:left="720" w:right="534" w:hanging="420"/>
        <w:jc w:val="both"/>
        <w:rPr>
          <w:rFonts w:cs="Times New Roman"/>
          <w:b w:val="0"/>
          <w:bCs w:val="0"/>
        </w:rPr>
      </w:pPr>
      <w:bookmarkStart w:id="2" w:name="_Toc459368431"/>
      <w:r w:rsidRPr="00E66CD9">
        <w:rPr>
          <w:rFonts w:cs="Times New Roman"/>
        </w:rPr>
        <w:t>SUMMARY ARGUMENT OF THE COMMUNITY ASSOCIATIONS INSTITUTE</w:t>
      </w:r>
      <w:bookmarkEnd w:id="2"/>
    </w:p>
    <w:p w:rsidR="006A0CDE" w:rsidRPr="00E66CD9" w:rsidRDefault="00A44455" w:rsidP="00872919">
      <w:pPr>
        <w:pStyle w:val="BodyText"/>
      </w:pPr>
      <w:r w:rsidRPr="00E66CD9">
        <w:t>The district court correctly held that the declarant’s purported veto power over declaration amendments contained in section 16.6(h) of the Association’s Declaration is void under CCIOA, C.R.S. §</w:t>
      </w:r>
      <w:r w:rsidR="00872919" w:rsidRPr="00E66CD9">
        <w:t>§ 38-33.3-104</w:t>
      </w:r>
      <w:r w:rsidR="00C85FD7">
        <w:t xml:space="preserve"> and </w:t>
      </w:r>
      <w:r w:rsidRPr="00E66CD9">
        <w:t>38-33.3-302(2)</w:t>
      </w:r>
      <w:r w:rsidR="00A76242" w:rsidRPr="00E66CD9">
        <w:rPr>
          <w:color w:val="070707"/>
        </w:rPr>
        <w:t>.</w:t>
      </w:r>
      <w:r w:rsidR="00872919" w:rsidRPr="00E66CD9">
        <w:t xml:space="preserve"> The </w:t>
      </w:r>
      <w:r w:rsidR="00872919" w:rsidRPr="00E66CD9">
        <w:lastRenderedPageBreak/>
        <w:t xml:space="preserve">district court’s order comports with </w:t>
      </w:r>
      <w:r w:rsidR="00A76242" w:rsidRPr="00E66CD9">
        <w:t xml:space="preserve">Colorado </w:t>
      </w:r>
      <w:r w:rsidR="00872919" w:rsidRPr="00E66CD9">
        <w:t xml:space="preserve">public policy, as </w:t>
      </w:r>
      <w:r w:rsidR="00C85FD7">
        <w:t xml:space="preserve">described </w:t>
      </w:r>
      <w:r w:rsidR="00872919" w:rsidRPr="00E66CD9">
        <w:t xml:space="preserve">in CCIOA’s statutory declaration, which </w:t>
      </w:r>
      <w:r w:rsidR="00C85FD7">
        <w:t xml:space="preserve">grants </w:t>
      </w:r>
      <w:r w:rsidR="00872919" w:rsidRPr="00E66CD9">
        <w:t xml:space="preserve">developers certain </w:t>
      </w:r>
      <w:r w:rsidR="00C85FD7">
        <w:t xml:space="preserve">limited </w:t>
      </w:r>
      <w:r w:rsidR="00872919" w:rsidRPr="00E66CD9">
        <w:t>rights that extend only through the end of</w:t>
      </w:r>
      <w:r w:rsidR="002446CD">
        <w:t xml:space="preserve"> the</w:t>
      </w:r>
      <w:r w:rsidR="00872919" w:rsidRPr="00E66CD9">
        <w:t xml:space="preserve"> </w:t>
      </w:r>
      <w:r w:rsidR="00872919" w:rsidRPr="002446CD">
        <w:rPr>
          <w:noProof/>
        </w:rPr>
        <w:t>transition</w:t>
      </w:r>
      <w:r w:rsidR="00872919" w:rsidRPr="00E66CD9">
        <w:t xml:space="preserve"> to owner control</w:t>
      </w:r>
      <w:r w:rsidR="00C85FD7">
        <w:t xml:space="preserve">. </w:t>
      </w:r>
      <w:r w:rsidR="00C85FD7" w:rsidRPr="00C85FD7">
        <w:rPr>
          <w:i/>
        </w:rPr>
        <w:t>See</w:t>
      </w:r>
      <w:r w:rsidR="00C85FD7">
        <w:t xml:space="preserve"> </w:t>
      </w:r>
      <w:r w:rsidR="00C85FD7" w:rsidRPr="00E66CD9">
        <w:t>C.R.S. §§</w:t>
      </w:r>
      <w:r w:rsidR="00C85FD7">
        <w:t xml:space="preserve"> </w:t>
      </w:r>
      <w:r w:rsidR="00C85FD7" w:rsidRPr="00E66CD9">
        <w:t>38-33.3-102(1)(c)</w:t>
      </w:r>
      <w:r w:rsidR="00C85FD7">
        <w:t xml:space="preserve"> and </w:t>
      </w:r>
      <w:r w:rsidR="00C85FD7" w:rsidRPr="00E66CD9">
        <w:t>(d)</w:t>
      </w:r>
      <w:r w:rsidR="00C85FD7">
        <w:t xml:space="preserve">. These limitations are </w:t>
      </w:r>
      <w:r w:rsidR="00A76242" w:rsidRPr="00E66CD9">
        <w:t xml:space="preserve">consistent with </w:t>
      </w:r>
      <w:r w:rsidR="00A76242" w:rsidRPr="00E66CD9">
        <w:rPr>
          <w:color w:val="070707"/>
        </w:rPr>
        <w:t xml:space="preserve">Comment 2 to §1-104 </w:t>
      </w:r>
      <w:r w:rsidR="00C85FD7">
        <w:rPr>
          <w:color w:val="070707"/>
        </w:rPr>
        <w:t xml:space="preserve">of </w:t>
      </w:r>
      <w:r w:rsidR="00A76242" w:rsidRPr="00E66CD9">
        <w:rPr>
          <w:color w:val="070707"/>
        </w:rPr>
        <w:t>the Uniform Common Interest Ownership Act (</w:t>
      </w:r>
      <w:r w:rsidR="00907A7A">
        <w:rPr>
          <w:color w:val="070707"/>
        </w:rPr>
        <w:t>“</w:t>
      </w:r>
      <w:r w:rsidR="00A76242" w:rsidRPr="00E66CD9">
        <w:rPr>
          <w:color w:val="070707"/>
        </w:rPr>
        <w:t>U</w:t>
      </w:r>
      <w:r w:rsidR="00907A7A">
        <w:rPr>
          <w:color w:val="070707"/>
        </w:rPr>
        <w:t>niform Act”</w:t>
      </w:r>
      <w:r w:rsidR="00A76242" w:rsidRPr="00E66CD9">
        <w:rPr>
          <w:color w:val="070707"/>
        </w:rPr>
        <w:t>)</w:t>
      </w:r>
      <w:r w:rsidR="00C85FD7">
        <w:rPr>
          <w:color w:val="070707"/>
        </w:rPr>
        <w:t xml:space="preserve"> which </w:t>
      </w:r>
      <w:r w:rsidR="00A76242" w:rsidRPr="00E66CD9">
        <w:rPr>
          <w:color w:val="070707"/>
        </w:rPr>
        <w:t>prohibit</w:t>
      </w:r>
      <w:r w:rsidR="00C85FD7">
        <w:rPr>
          <w:color w:val="070707"/>
        </w:rPr>
        <w:t xml:space="preserve">s </w:t>
      </w:r>
      <w:r w:rsidR="00A76242" w:rsidRPr="00E66CD9">
        <w:rPr>
          <w:color w:val="070707"/>
        </w:rPr>
        <w:t xml:space="preserve">declarants from using any means </w:t>
      </w:r>
      <w:r w:rsidR="006B64FE">
        <w:rPr>
          <w:color w:val="070707"/>
        </w:rPr>
        <w:t xml:space="preserve">to evade </w:t>
      </w:r>
      <w:r w:rsidR="0094093E" w:rsidRPr="00E66CD9">
        <w:rPr>
          <w:color w:val="070707"/>
        </w:rPr>
        <w:t xml:space="preserve">unit owner voting </w:t>
      </w:r>
      <w:r w:rsidR="006B64FE">
        <w:rPr>
          <w:color w:val="070707"/>
        </w:rPr>
        <w:t xml:space="preserve">authority and </w:t>
      </w:r>
      <w:r w:rsidR="0094093E" w:rsidRPr="00E66CD9">
        <w:rPr>
          <w:color w:val="070707"/>
        </w:rPr>
        <w:t>power</w:t>
      </w:r>
      <w:r w:rsidR="00C85FD7">
        <w:rPr>
          <w:color w:val="070707"/>
        </w:rPr>
        <w:t>. T</w:t>
      </w:r>
      <w:r w:rsidR="00A76242" w:rsidRPr="00E66CD9">
        <w:rPr>
          <w:color w:val="070707"/>
        </w:rPr>
        <w:t>he district court note</w:t>
      </w:r>
      <w:r w:rsidR="0094093E" w:rsidRPr="00E66CD9">
        <w:rPr>
          <w:color w:val="070707"/>
        </w:rPr>
        <w:t>d</w:t>
      </w:r>
      <w:r w:rsidR="00A76242" w:rsidRPr="00E66CD9">
        <w:rPr>
          <w:color w:val="070707"/>
        </w:rPr>
        <w:t xml:space="preserve"> </w:t>
      </w:r>
      <w:r w:rsidR="00C85FD7">
        <w:rPr>
          <w:color w:val="070707"/>
        </w:rPr>
        <w:t xml:space="preserve">that this Uniform </w:t>
      </w:r>
      <w:r w:rsidR="00907A7A">
        <w:rPr>
          <w:color w:val="070707"/>
        </w:rPr>
        <w:t>Act</w:t>
      </w:r>
      <w:r w:rsidR="00C85FD7">
        <w:rPr>
          <w:color w:val="070707"/>
        </w:rPr>
        <w:t xml:space="preserve"> </w:t>
      </w:r>
      <w:r w:rsidR="00A76242" w:rsidRPr="00E66CD9">
        <w:rPr>
          <w:color w:val="070707"/>
        </w:rPr>
        <w:t>“is nearly identical” to §38-33.3-104</w:t>
      </w:r>
      <w:r w:rsidR="00A76242" w:rsidRPr="00E66CD9">
        <w:t xml:space="preserve">. </w:t>
      </w:r>
      <w:r w:rsidR="0094093E" w:rsidRPr="00E66CD9">
        <w:t>T</w:t>
      </w:r>
      <w:r w:rsidR="00872919" w:rsidRPr="00E66CD9">
        <w:t>he district court’s order also follows from C.R.S. § 38-33.3-305(1)(b), which allows an association’s executive board to terminate contracts between the association and the declarant.</w:t>
      </w:r>
      <w:r w:rsidRPr="00E66CD9">
        <w:t xml:space="preserve"> </w:t>
      </w:r>
      <w:r w:rsidR="0094093E" w:rsidRPr="00E66CD9">
        <w:t xml:space="preserve">Moreover, </w:t>
      </w:r>
      <w:r w:rsidR="00872919" w:rsidRPr="00E66CD9">
        <w:t>including</w:t>
      </w:r>
      <w:r w:rsidRPr="00E66CD9">
        <w:t xml:space="preserve"> a </w:t>
      </w:r>
      <w:r w:rsidR="00872919" w:rsidRPr="00E66CD9">
        <w:t xml:space="preserve">declarant-veto </w:t>
      </w:r>
      <w:r w:rsidRPr="00E66CD9">
        <w:t xml:space="preserve">provision in an </w:t>
      </w:r>
      <w:r w:rsidR="00872919" w:rsidRPr="00E66CD9">
        <w:t xml:space="preserve">association’s </w:t>
      </w:r>
      <w:r w:rsidRPr="00E66CD9">
        <w:t xml:space="preserve">declarations is a violation of the declarant’s fiduciary </w:t>
      </w:r>
      <w:r w:rsidR="00872919" w:rsidRPr="00E66CD9">
        <w:t xml:space="preserve">duties </w:t>
      </w:r>
      <w:r w:rsidRPr="00E66CD9">
        <w:t>to the</w:t>
      </w:r>
      <w:r w:rsidR="00872919" w:rsidRPr="00E66CD9">
        <w:t xml:space="preserve"> association’s</w:t>
      </w:r>
      <w:r w:rsidRPr="00E66CD9">
        <w:t xml:space="preserve"> owners</w:t>
      </w:r>
      <w:r w:rsidR="00872919" w:rsidRPr="00E66CD9">
        <w:t>.</w:t>
      </w:r>
      <w:r w:rsidRPr="00E66CD9">
        <w:t xml:space="preserve"> </w:t>
      </w:r>
    </w:p>
    <w:p w:rsidR="00872919" w:rsidRPr="00E66CD9" w:rsidRDefault="00872919" w:rsidP="00872919">
      <w:pPr>
        <w:pStyle w:val="Heading1"/>
        <w:keepNext/>
        <w:numPr>
          <w:ilvl w:val="0"/>
          <w:numId w:val="3"/>
        </w:numPr>
        <w:tabs>
          <w:tab w:val="left" w:pos="596"/>
        </w:tabs>
        <w:spacing w:after="240"/>
        <w:ind w:left="595" w:hanging="475"/>
        <w:jc w:val="center"/>
        <w:rPr>
          <w:rFonts w:cs="Times New Roman"/>
          <w:b w:val="0"/>
          <w:bCs w:val="0"/>
        </w:rPr>
      </w:pPr>
      <w:bookmarkStart w:id="3" w:name="_Toc459368432"/>
      <w:r w:rsidRPr="00E66CD9">
        <w:rPr>
          <w:rFonts w:cs="Times New Roman"/>
        </w:rPr>
        <w:t>ARGUMENT</w:t>
      </w:r>
      <w:bookmarkEnd w:id="3"/>
    </w:p>
    <w:p w:rsidR="006A0CDE" w:rsidRPr="00E66CD9" w:rsidRDefault="00A44455" w:rsidP="00872919">
      <w:pPr>
        <w:pStyle w:val="Heading2"/>
        <w:rPr>
          <w:rFonts w:ascii="Times New Roman" w:hAnsi="Times New Roman" w:cs="Times New Roman"/>
          <w:spacing w:val="0"/>
        </w:rPr>
      </w:pPr>
      <w:bookmarkStart w:id="4" w:name="_Toc459368433"/>
      <w:r w:rsidRPr="00E66CD9">
        <w:rPr>
          <w:rFonts w:ascii="Times New Roman" w:hAnsi="Times New Roman" w:cs="Times New Roman"/>
          <w:spacing w:val="0"/>
        </w:rPr>
        <w:t>A.</w:t>
      </w:r>
      <w:r w:rsidRPr="00E66CD9">
        <w:rPr>
          <w:rFonts w:ascii="Times New Roman" w:hAnsi="Times New Roman" w:cs="Times New Roman"/>
          <w:spacing w:val="0"/>
        </w:rPr>
        <w:tab/>
        <w:t>INTRODUCTION</w:t>
      </w:r>
      <w:bookmarkEnd w:id="4"/>
    </w:p>
    <w:p w:rsidR="006A0CDE" w:rsidRPr="00E66CD9" w:rsidRDefault="0062018C" w:rsidP="00872919">
      <w:pPr>
        <w:pStyle w:val="BodyText"/>
      </w:pPr>
      <w:r w:rsidRPr="00E66CD9">
        <w:t>A</w:t>
      </w:r>
      <w:r w:rsidR="00A44455" w:rsidRPr="00E66CD9">
        <w:t xml:space="preserve"> community association</w:t>
      </w:r>
      <w:r w:rsidRPr="00E66CD9">
        <w:t>’s declaration</w:t>
      </w:r>
      <w:r w:rsidR="00A44455" w:rsidRPr="00E66CD9">
        <w:t xml:space="preserve"> </w:t>
      </w:r>
      <w:r w:rsidRPr="00E66CD9">
        <w:t xml:space="preserve">is </w:t>
      </w:r>
      <w:r w:rsidR="0094093E" w:rsidRPr="00E66CD9">
        <w:t xml:space="preserve">that non-profit corporation’s </w:t>
      </w:r>
      <w:r w:rsidR="00A44455" w:rsidRPr="00E66CD9">
        <w:t>governing document</w:t>
      </w:r>
      <w:r w:rsidR="006B64FE">
        <w:t>.</w:t>
      </w:r>
      <w:r w:rsidR="00A44455" w:rsidRPr="00E66CD9">
        <w:t xml:space="preserve"> Unlike a standard contract, a declaration </w:t>
      </w:r>
      <w:r w:rsidR="00A44455" w:rsidRPr="002446CD">
        <w:rPr>
          <w:noProof/>
        </w:rPr>
        <w:t>is</w:t>
      </w:r>
      <w:r w:rsidRPr="002446CD">
        <w:rPr>
          <w:noProof/>
        </w:rPr>
        <w:t xml:space="preserve"> highly regulated</w:t>
      </w:r>
      <w:r w:rsidR="00972234" w:rsidRPr="00E66CD9">
        <w:t>:</w:t>
      </w:r>
      <w:r w:rsidRPr="00E66CD9">
        <w:t xml:space="preserve"> it </w:t>
      </w:r>
      <w:r w:rsidRPr="002446CD">
        <w:rPr>
          <w:noProof/>
        </w:rPr>
        <w:t>is</w:t>
      </w:r>
      <w:r w:rsidR="00A44455" w:rsidRPr="002446CD">
        <w:rPr>
          <w:noProof/>
        </w:rPr>
        <w:t xml:space="preserve"> designed</w:t>
      </w:r>
      <w:r w:rsidR="00A44455" w:rsidRPr="00E66CD9">
        <w:t xml:space="preserve"> and intended to be amended by the community association</w:t>
      </w:r>
      <w:r w:rsidRPr="00E66CD9">
        <w:t>’s members</w:t>
      </w:r>
      <w:r w:rsidR="00A44455" w:rsidRPr="00E66CD9">
        <w:t xml:space="preserve"> as their needs </w:t>
      </w:r>
      <w:r w:rsidR="006B64FE">
        <w:t xml:space="preserve">and preferences </w:t>
      </w:r>
      <w:r w:rsidR="00A44455" w:rsidRPr="00E66CD9">
        <w:t xml:space="preserve">change over time. In fact, when </w:t>
      </w:r>
      <w:r w:rsidRPr="00E66CD9">
        <w:t xml:space="preserve">the Colorado General Assembly </w:t>
      </w:r>
      <w:r w:rsidR="00A44455" w:rsidRPr="00E66CD9">
        <w:t>adopted CCIOA,</w:t>
      </w:r>
      <w:r w:rsidRPr="00E66CD9">
        <w:t xml:space="preserve"> it</w:t>
      </w:r>
      <w:r w:rsidR="00A44455" w:rsidRPr="00E66CD9">
        <w:t xml:space="preserve"> expressly stated that one of the</w:t>
      </w:r>
      <w:r w:rsidRPr="00E66CD9">
        <w:t xml:space="preserve"> </w:t>
      </w:r>
      <w:r w:rsidRPr="00E66CD9">
        <w:lastRenderedPageBreak/>
        <w:t>Act’s</w:t>
      </w:r>
      <w:r w:rsidR="00A44455" w:rsidRPr="00E66CD9">
        <w:t xml:space="preserve"> purposes </w:t>
      </w:r>
      <w:r w:rsidRPr="00E66CD9">
        <w:t>is</w:t>
      </w:r>
      <w:r w:rsidR="00A44455" w:rsidRPr="00E66CD9">
        <w:t xml:space="preserve"> to preserve this flexibility for homeowner associations:</w:t>
      </w:r>
    </w:p>
    <w:p w:rsidR="006A0CDE" w:rsidRPr="00E66CD9" w:rsidRDefault="00A44455" w:rsidP="002446CD">
      <w:pPr>
        <w:pStyle w:val="Quote"/>
      </w:pPr>
      <w:r w:rsidRPr="00E66CD9">
        <w:t xml:space="preserve">[I]t is the policy of this state to promote effective and efficient property management through defined operational requirements that </w:t>
      </w:r>
      <w:r w:rsidRPr="00E66CD9">
        <w:rPr>
          <w:u w:val="single" w:color="000000"/>
        </w:rPr>
        <w:t>preserve flexibility for such homeowner a</w:t>
      </w:r>
      <w:r w:rsidRPr="00E66CD9">
        <w:rPr>
          <w:u w:val="single"/>
        </w:rPr>
        <w:t>ssociations</w:t>
      </w:r>
      <w:r w:rsidRPr="00E66CD9">
        <w:t>;</w:t>
      </w:r>
    </w:p>
    <w:p w:rsidR="0062018C" w:rsidRPr="00E66CD9" w:rsidRDefault="00A44455" w:rsidP="00872919">
      <w:pPr>
        <w:pStyle w:val="BodyText"/>
        <w:ind w:firstLine="0"/>
      </w:pPr>
      <w:r w:rsidRPr="00E66CD9">
        <w:t xml:space="preserve">C.R.S. § 38-33.3-102(1)(d) (emphasis added). </w:t>
      </w:r>
    </w:p>
    <w:p w:rsidR="006A0CDE" w:rsidRPr="00E66CD9" w:rsidRDefault="00A44455" w:rsidP="0062018C">
      <w:pPr>
        <w:pStyle w:val="BodyText"/>
      </w:pPr>
      <w:r w:rsidRPr="00E66CD9">
        <w:t xml:space="preserve">The </w:t>
      </w:r>
      <w:r w:rsidR="0062018C" w:rsidRPr="00E66CD9">
        <w:t>Legislature</w:t>
      </w:r>
      <w:r w:rsidRPr="00E66CD9">
        <w:t xml:space="preserve"> made clear that any rights a developer might have </w:t>
      </w:r>
      <w:r w:rsidR="00972234" w:rsidRPr="002446CD">
        <w:rPr>
          <w:noProof/>
        </w:rPr>
        <w:t>relative to</w:t>
      </w:r>
      <w:r w:rsidR="00972234" w:rsidRPr="00E66CD9">
        <w:t xml:space="preserve"> </w:t>
      </w:r>
      <w:r w:rsidRPr="00E66CD9">
        <w:t xml:space="preserve">the communities they create </w:t>
      </w:r>
      <w:r w:rsidRPr="008876F7">
        <w:rPr>
          <w:b/>
          <w:i/>
        </w:rPr>
        <w:t>end</w:t>
      </w:r>
      <w:r w:rsidRPr="00E66CD9">
        <w:t xml:space="preserve"> </w:t>
      </w:r>
      <w:r w:rsidR="0062018C" w:rsidRPr="00E66CD9">
        <w:t>when</w:t>
      </w:r>
      <w:r w:rsidRPr="00E66CD9">
        <w:t xml:space="preserve"> </w:t>
      </w:r>
      <w:r w:rsidR="0062018C" w:rsidRPr="00E66CD9">
        <w:t xml:space="preserve">community </w:t>
      </w:r>
      <w:r w:rsidRPr="00E66CD9">
        <w:t>governance transitions to owner control:</w:t>
      </w:r>
    </w:p>
    <w:p w:rsidR="006A0CDE" w:rsidRPr="00E66CD9" w:rsidRDefault="00A44455" w:rsidP="002446CD">
      <w:pPr>
        <w:pStyle w:val="Quote"/>
      </w:pPr>
      <w:r w:rsidRPr="00E66CD9">
        <w:t xml:space="preserve">[I]t is the policy of this state to </w:t>
      </w:r>
      <w:r w:rsidRPr="00E66CD9">
        <w:rPr>
          <w:u w:val="single" w:color="000000"/>
        </w:rPr>
        <w:t>give developers flexible development</w:t>
      </w:r>
      <w:r w:rsidRPr="00E66CD9">
        <w:rPr>
          <w:u w:val="single"/>
        </w:rPr>
        <w:t xml:space="preserve"> </w:t>
      </w:r>
      <w:r w:rsidRPr="00E66CD9">
        <w:rPr>
          <w:u w:val="single" w:color="000000"/>
        </w:rPr>
        <w:t xml:space="preserve">rights </w:t>
      </w:r>
      <w:r w:rsidRPr="00E66CD9">
        <w:t xml:space="preserve">with specific obligations within a uniform structure of development of a common interest community </w:t>
      </w:r>
      <w:r w:rsidRPr="00E66CD9">
        <w:rPr>
          <w:u w:val="single" w:color="000000"/>
        </w:rPr>
        <w:t>that extends through</w:t>
      </w:r>
      <w:r w:rsidRPr="00E66CD9">
        <w:rPr>
          <w:u w:val="single"/>
        </w:rPr>
        <w:t xml:space="preserve"> </w:t>
      </w:r>
      <w:r w:rsidRPr="00E66CD9">
        <w:rPr>
          <w:u w:val="single" w:color="000000"/>
        </w:rPr>
        <w:t>the transition to owner control</w:t>
      </w:r>
      <w:r w:rsidRPr="00E66CD9">
        <w:rPr>
          <w:u w:color="000000"/>
        </w:rPr>
        <w:t>;</w:t>
      </w:r>
      <w:r w:rsidR="008876F7">
        <w:rPr>
          <w:u w:color="000000"/>
        </w:rPr>
        <w:t xml:space="preserve"> ***</w:t>
      </w:r>
    </w:p>
    <w:p w:rsidR="006A0CDE" w:rsidRPr="00E66CD9" w:rsidRDefault="00A44455" w:rsidP="00872919">
      <w:pPr>
        <w:pStyle w:val="BodyText"/>
        <w:ind w:firstLine="0"/>
      </w:pPr>
      <w:r w:rsidRPr="00E66CD9">
        <w:t xml:space="preserve">C.R.S. § 38-33.3-102(1)(c) (emphasis added). </w:t>
      </w:r>
      <w:r w:rsidR="008876F7">
        <w:t xml:space="preserve">When </w:t>
      </w:r>
      <w:r w:rsidRPr="00E66CD9">
        <w:t xml:space="preserve">homeowner </w:t>
      </w:r>
      <w:r w:rsidR="008876F7">
        <w:t xml:space="preserve">association </w:t>
      </w:r>
      <w:r w:rsidRPr="00E66CD9">
        <w:t>governance</w:t>
      </w:r>
      <w:r w:rsidR="008876F7">
        <w:t xml:space="preserve"> transitions to the unit owners</w:t>
      </w:r>
      <w:r w:rsidRPr="00E66CD9">
        <w:t xml:space="preserve">, the declarant’s rights </w:t>
      </w:r>
      <w:r w:rsidRPr="002446CD">
        <w:rPr>
          <w:noProof/>
        </w:rPr>
        <w:t>expire</w:t>
      </w:r>
      <w:r w:rsidR="002446CD">
        <w:rPr>
          <w:noProof/>
        </w:rPr>
        <w:t>,</w:t>
      </w:r>
      <w:r w:rsidRPr="00E66CD9">
        <w:t xml:space="preserve"> and the community begins </w:t>
      </w:r>
      <w:r w:rsidR="0062018C" w:rsidRPr="00E66CD9">
        <w:t>its self-</w:t>
      </w:r>
      <w:r w:rsidRPr="00E66CD9">
        <w:t>govern</w:t>
      </w:r>
      <w:r w:rsidR="0062018C" w:rsidRPr="00E66CD9">
        <w:t>ance.</w:t>
      </w:r>
      <w:r w:rsidRPr="00E66CD9">
        <w:t xml:space="preserve"> Several </w:t>
      </w:r>
      <w:r w:rsidR="00972234" w:rsidRPr="00E66CD9">
        <w:t xml:space="preserve">CCIOA </w:t>
      </w:r>
      <w:r w:rsidRPr="00E66CD9">
        <w:t xml:space="preserve">provisions elaborate on and reinforce this </w:t>
      </w:r>
      <w:r w:rsidR="00972234" w:rsidRPr="00E66CD9">
        <w:t xml:space="preserve">right to </w:t>
      </w:r>
      <w:r w:rsidRPr="00E66CD9">
        <w:t>self-governance</w:t>
      </w:r>
      <w:r w:rsidR="00972234" w:rsidRPr="00E66CD9">
        <w:t xml:space="preserve">, </w:t>
      </w:r>
      <w:r w:rsidR="008876F7">
        <w:t xml:space="preserve">as well as </w:t>
      </w:r>
      <w:r w:rsidR="00972234" w:rsidRPr="00E66CD9">
        <w:t>its timing</w:t>
      </w:r>
      <w:r w:rsidRPr="00E66CD9">
        <w:t>.</w:t>
      </w:r>
    </w:p>
    <w:p w:rsidR="006A0CDE" w:rsidRPr="00E66CD9" w:rsidRDefault="00907A7A" w:rsidP="00B053ED">
      <w:pPr>
        <w:pStyle w:val="Heading2"/>
        <w:jc w:val="both"/>
        <w:rPr>
          <w:rFonts w:ascii="Times New Roman" w:hAnsi="Times New Roman" w:cs="Times New Roman"/>
          <w:spacing w:val="0"/>
        </w:rPr>
      </w:pPr>
      <w:bookmarkStart w:id="5" w:name="_Toc459368434"/>
      <w:r>
        <w:rPr>
          <w:rFonts w:ascii="Times New Roman" w:hAnsi="Times New Roman" w:cs="Times New Roman"/>
          <w:spacing w:val="0"/>
        </w:rPr>
        <w:t>B</w:t>
      </w:r>
      <w:r w:rsidR="00872919" w:rsidRPr="00E66CD9">
        <w:rPr>
          <w:rFonts w:ascii="Times New Roman" w:hAnsi="Times New Roman" w:cs="Times New Roman"/>
          <w:spacing w:val="0"/>
        </w:rPr>
        <w:t>.</w:t>
      </w:r>
      <w:r w:rsidR="00872919" w:rsidRPr="00E66CD9">
        <w:rPr>
          <w:rFonts w:ascii="Times New Roman" w:hAnsi="Times New Roman" w:cs="Times New Roman"/>
          <w:spacing w:val="0"/>
        </w:rPr>
        <w:tab/>
      </w:r>
      <w:r w:rsidR="00881667" w:rsidRPr="00E66CD9">
        <w:rPr>
          <w:rFonts w:ascii="Times New Roman" w:hAnsi="Times New Roman" w:cs="Times New Roman"/>
          <w:spacing w:val="0"/>
        </w:rPr>
        <w:t xml:space="preserve">AS A MATTER OF PUBLIC POLICY, </w:t>
      </w:r>
      <w:r w:rsidR="00A44455" w:rsidRPr="00E66CD9">
        <w:rPr>
          <w:rFonts w:ascii="Times New Roman" w:hAnsi="Times New Roman" w:cs="Times New Roman"/>
          <w:spacing w:val="0"/>
        </w:rPr>
        <w:t>C.R.S. § 38-33.3-305(1)(</w:t>
      </w:r>
      <w:r w:rsidR="00872919" w:rsidRPr="00E66CD9">
        <w:rPr>
          <w:rFonts w:ascii="Times New Roman" w:hAnsi="Times New Roman" w:cs="Times New Roman"/>
          <w:spacing w:val="0"/>
        </w:rPr>
        <w:t>b</w:t>
      </w:r>
      <w:r w:rsidR="00A44455" w:rsidRPr="00E66CD9">
        <w:rPr>
          <w:rFonts w:ascii="Times New Roman" w:hAnsi="Times New Roman" w:cs="Times New Roman"/>
          <w:spacing w:val="0"/>
        </w:rPr>
        <w:t>) G</w:t>
      </w:r>
      <w:r w:rsidR="004316F1">
        <w:rPr>
          <w:rFonts w:ascii="Times New Roman" w:hAnsi="Times New Roman" w:cs="Times New Roman"/>
          <w:spacing w:val="0"/>
        </w:rPr>
        <w:t xml:space="preserve">RANTS </w:t>
      </w:r>
      <w:r w:rsidR="00A44455" w:rsidRPr="00E66CD9">
        <w:rPr>
          <w:rFonts w:ascii="Times New Roman" w:hAnsi="Times New Roman" w:cs="Times New Roman"/>
          <w:spacing w:val="0"/>
        </w:rPr>
        <w:t>ASSOCIATION</w:t>
      </w:r>
      <w:r w:rsidR="00881667" w:rsidRPr="00E66CD9">
        <w:rPr>
          <w:rFonts w:ascii="Times New Roman" w:hAnsi="Times New Roman" w:cs="Times New Roman"/>
          <w:spacing w:val="0"/>
        </w:rPr>
        <w:t>S</w:t>
      </w:r>
      <w:r w:rsidR="00A44455" w:rsidRPr="00E66CD9">
        <w:rPr>
          <w:rFonts w:ascii="Times New Roman" w:hAnsi="Times New Roman" w:cs="Times New Roman"/>
          <w:spacing w:val="0"/>
        </w:rPr>
        <w:t xml:space="preserve"> THE </w:t>
      </w:r>
      <w:r w:rsidR="00881667" w:rsidRPr="00E66CD9">
        <w:rPr>
          <w:rFonts w:ascii="Times New Roman" w:hAnsi="Times New Roman" w:cs="Times New Roman"/>
          <w:spacing w:val="0"/>
        </w:rPr>
        <w:t xml:space="preserve">POWER </w:t>
      </w:r>
      <w:r w:rsidR="00A44455" w:rsidRPr="00E66CD9">
        <w:rPr>
          <w:rFonts w:ascii="Times New Roman" w:hAnsi="Times New Roman" w:cs="Times New Roman"/>
          <w:spacing w:val="0"/>
        </w:rPr>
        <w:t>TO UNILATERALLY TERMINATE ANY CONTRACTS BETWEEN THE ASSOCIATION AND THE DECLARANT</w:t>
      </w:r>
      <w:r w:rsidR="00881667" w:rsidRPr="00E66CD9">
        <w:rPr>
          <w:rFonts w:ascii="Times New Roman" w:hAnsi="Times New Roman" w:cs="Times New Roman"/>
          <w:spacing w:val="0"/>
        </w:rPr>
        <w:t>.</w:t>
      </w:r>
      <w:bookmarkEnd w:id="5"/>
    </w:p>
    <w:p w:rsidR="006A0CDE" w:rsidRPr="00E66CD9" w:rsidRDefault="00A44455" w:rsidP="00872919">
      <w:pPr>
        <w:pStyle w:val="BodyText"/>
      </w:pPr>
      <w:r w:rsidRPr="00E66CD9">
        <w:t xml:space="preserve">The Colorado </w:t>
      </w:r>
      <w:r w:rsidR="003755FA">
        <w:t>L</w:t>
      </w:r>
      <w:r w:rsidRPr="00E66CD9">
        <w:t xml:space="preserve">egislature correctly predicted that even though C.R.S. § 38-33.3-302(2) is </w:t>
      </w:r>
      <w:r w:rsidR="00881667" w:rsidRPr="00E66CD9">
        <w:t xml:space="preserve">intended </w:t>
      </w:r>
      <w:r w:rsidRPr="00E66CD9">
        <w:t xml:space="preserve">to prevent declarants from self-dealing at the expense of </w:t>
      </w:r>
      <w:r w:rsidRPr="00E66CD9">
        <w:lastRenderedPageBreak/>
        <w:t xml:space="preserve">the communities they create, there </w:t>
      </w:r>
      <w:r w:rsidR="00881667" w:rsidRPr="00E66CD9">
        <w:t xml:space="preserve">could </w:t>
      </w:r>
      <w:r w:rsidRPr="00E66CD9">
        <w:t xml:space="preserve">be declarants who still attempt to take advantage of their communities by binding </w:t>
      </w:r>
      <w:r w:rsidR="00881667" w:rsidRPr="00E66CD9">
        <w:t xml:space="preserve">them </w:t>
      </w:r>
      <w:r w:rsidRPr="00E66CD9">
        <w:t xml:space="preserve">to contracts before </w:t>
      </w:r>
      <w:r w:rsidR="00881667" w:rsidRPr="00E66CD9">
        <w:t>completing</w:t>
      </w:r>
      <w:r w:rsidR="002446CD">
        <w:t xml:space="preserve"> the</w:t>
      </w:r>
      <w:r w:rsidR="00881667" w:rsidRPr="00E66CD9">
        <w:t xml:space="preserve"> </w:t>
      </w:r>
      <w:r w:rsidRPr="002446CD">
        <w:rPr>
          <w:noProof/>
        </w:rPr>
        <w:t>transition</w:t>
      </w:r>
      <w:r w:rsidRPr="00E66CD9">
        <w:t xml:space="preserve"> to </w:t>
      </w:r>
      <w:r w:rsidR="009E0109">
        <w:t xml:space="preserve">unit owner </w:t>
      </w:r>
      <w:r w:rsidRPr="00E66CD9">
        <w:t>control</w:t>
      </w:r>
      <w:r w:rsidR="00881667" w:rsidRPr="00E66CD9">
        <w:t>.</w:t>
      </w:r>
      <w:r w:rsidRPr="00E66CD9">
        <w:t xml:space="preserve"> </w:t>
      </w:r>
      <w:r w:rsidR="00881667" w:rsidRPr="00E66CD9">
        <w:t>F</w:t>
      </w:r>
      <w:r w:rsidRPr="00E66CD9">
        <w:t>or this reason</w:t>
      </w:r>
      <w:r w:rsidR="00881667" w:rsidRPr="00E66CD9">
        <w:t>,</w:t>
      </w:r>
      <w:r w:rsidRPr="00E66CD9">
        <w:t xml:space="preserve"> Colorado adopted C.R.S. § 38-33.3-305(1)(b), </w:t>
      </w:r>
      <w:r w:rsidR="00881667" w:rsidRPr="00E66CD9">
        <w:t xml:space="preserve">which </w:t>
      </w:r>
      <w:r w:rsidRPr="00E66CD9">
        <w:t>grant</w:t>
      </w:r>
      <w:r w:rsidR="00881667" w:rsidRPr="00E66CD9">
        <w:t>s</w:t>
      </w:r>
      <w:r w:rsidRPr="00E66CD9">
        <w:t xml:space="preserve"> the associations </w:t>
      </w:r>
      <w:r w:rsidR="009D4F21" w:rsidRPr="00E66CD9">
        <w:t xml:space="preserve">the </w:t>
      </w:r>
      <w:r w:rsidRPr="00E66CD9">
        <w:t xml:space="preserve">unilateral right to terminate </w:t>
      </w:r>
      <w:r w:rsidR="00881667" w:rsidRPr="00E66CD9">
        <w:t xml:space="preserve">any </w:t>
      </w:r>
      <w:r w:rsidRPr="00E66CD9">
        <w:t xml:space="preserve">contract </w:t>
      </w:r>
      <w:proofErr w:type="gramStart"/>
      <w:r w:rsidRPr="00E66CD9">
        <w:t>entered into by</w:t>
      </w:r>
      <w:proofErr w:type="gramEnd"/>
      <w:r w:rsidRPr="00E66CD9">
        <w:t xml:space="preserve"> declarant</w:t>
      </w:r>
      <w:r w:rsidR="00881667" w:rsidRPr="00E66CD9">
        <w:t>s</w:t>
      </w:r>
      <w:r w:rsidRPr="00E66CD9">
        <w:t>.</w:t>
      </w:r>
      <w:r w:rsidR="009D4F21" w:rsidRPr="00E66CD9">
        <w:t xml:space="preserve">  </w:t>
      </w:r>
      <w:r w:rsidRPr="00E66CD9">
        <w:t>C.R.S. § 38-33.3-305(1)(b) provides:</w:t>
      </w:r>
    </w:p>
    <w:p w:rsidR="006A0CDE" w:rsidRPr="00E66CD9" w:rsidRDefault="00A44455" w:rsidP="002446CD">
      <w:pPr>
        <w:pStyle w:val="Quote"/>
      </w:pPr>
      <w:r w:rsidRPr="002446CD">
        <w:rPr>
          <w:noProof/>
        </w:rPr>
        <w:t xml:space="preserve">The following contracts and leases, if entered into before the executive board elected by the unit owners pursuant to section 38- 33.3-303(7) takes office, </w:t>
      </w:r>
      <w:r w:rsidRPr="002446CD">
        <w:rPr>
          <w:i/>
          <w:noProof/>
          <w:u w:val="single" w:color="000000"/>
        </w:rPr>
        <w:t>may be terminated without penalty by the</w:t>
      </w:r>
      <w:r w:rsidRPr="002446CD">
        <w:rPr>
          <w:i/>
          <w:noProof/>
          <w:u w:val="single"/>
        </w:rPr>
        <w:t xml:space="preserve"> </w:t>
      </w:r>
      <w:r w:rsidRPr="002446CD">
        <w:rPr>
          <w:i/>
          <w:noProof/>
          <w:u w:val="single" w:color="000000"/>
        </w:rPr>
        <w:t>association</w:t>
      </w:r>
      <w:r w:rsidRPr="002446CD">
        <w:rPr>
          <w:noProof/>
          <w:u w:val="single" w:color="000000"/>
        </w:rPr>
        <w:t xml:space="preserve">, </w:t>
      </w:r>
      <w:r w:rsidRPr="002446CD">
        <w:rPr>
          <w:noProof/>
          <w:u w:val="single"/>
        </w:rPr>
        <w:t xml:space="preserve">at </w:t>
      </w:r>
      <w:r w:rsidRPr="002446CD">
        <w:rPr>
          <w:i/>
          <w:noProof/>
          <w:u w:val="single" w:color="000000"/>
        </w:rPr>
        <w:t>any time</w:t>
      </w:r>
      <w:r w:rsidRPr="002446CD">
        <w:rPr>
          <w:i/>
          <w:noProof/>
        </w:rPr>
        <w:t xml:space="preserve"> </w:t>
      </w:r>
      <w:r w:rsidRPr="002446CD">
        <w:rPr>
          <w:noProof/>
        </w:rPr>
        <w:t>after the executive board elected by the unit</w:t>
      </w:r>
      <w:r w:rsidR="00881667" w:rsidRPr="002446CD">
        <w:rPr>
          <w:noProof/>
        </w:rPr>
        <w:t xml:space="preserve"> </w:t>
      </w:r>
      <w:r w:rsidRPr="002446CD">
        <w:rPr>
          <w:noProof/>
        </w:rPr>
        <w:t>owners pursuant to section 38-33.3-303(7) takes office, upon not less than ninety days’ notice to the other party:</w:t>
      </w:r>
    </w:p>
    <w:p w:rsidR="006A0CDE" w:rsidRPr="00E66CD9" w:rsidRDefault="00A44455" w:rsidP="002446CD">
      <w:pPr>
        <w:pStyle w:val="Quote"/>
      </w:pPr>
      <w:r w:rsidRPr="00E66CD9">
        <w:t>…</w:t>
      </w:r>
    </w:p>
    <w:p w:rsidR="006A0CDE" w:rsidRPr="00E66CD9" w:rsidRDefault="00A44455" w:rsidP="002446CD">
      <w:pPr>
        <w:pStyle w:val="Quote"/>
      </w:pPr>
      <w:r w:rsidRPr="00E66CD9">
        <w:t>(b) Any…contract or lease between the association and a declarant or an affiliate of a declarant; or</w:t>
      </w:r>
      <w:r w:rsidR="00881667" w:rsidRPr="00E66CD9">
        <w:t xml:space="preserve"> </w:t>
      </w:r>
      <w:r w:rsidR="00881667" w:rsidRPr="002446CD">
        <w:rPr>
          <w:noProof/>
        </w:rPr>
        <w:t>…</w:t>
      </w:r>
      <w:r w:rsidR="00881667" w:rsidRPr="00E66CD9">
        <w:t xml:space="preserve"> </w:t>
      </w:r>
    </w:p>
    <w:p w:rsidR="00881667" w:rsidRPr="004316F1" w:rsidRDefault="00A44455" w:rsidP="00872919">
      <w:pPr>
        <w:pStyle w:val="BodyText"/>
        <w:ind w:firstLine="0"/>
      </w:pPr>
      <w:r w:rsidRPr="00E66CD9">
        <w:t xml:space="preserve">C.R.S. § 38-33.3-305(1)(b) (emphasis added). </w:t>
      </w:r>
      <w:r w:rsidR="004316F1">
        <w:t xml:space="preserve"> An association’s governing documents</w:t>
      </w:r>
      <w:r w:rsidR="00E251BD">
        <w:t xml:space="preserve">, such as its declarations and bylaws, </w:t>
      </w:r>
      <w:r w:rsidR="004316F1">
        <w:t xml:space="preserve">are contracts.  </w:t>
      </w:r>
      <w:r w:rsidR="004316F1" w:rsidRPr="004316F1">
        <w:rPr>
          <w:i/>
        </w:rPr>
        <w:t>See</w:t>
      </w:r>
      <w:r w:rsidR="004316F1">
        <w:rPr>
          <w:i/>
        </w:rPr>
        <w:t>, e.g.,</w:t>
      </w:r>
      <w:r w:rsidR="006809FF">
        <w:rPr>
          <w:i/>
        </w:rPr>
        <w:t xml:space="preserve"> </w:t>
      </w:r>
      <w:proofErr w:type="spellStart"/>
      <w:r w:rsidR="006809FF">
        <w:rPr>
          <w:i/>
        </w:rPr>
        <w:t>Ass’n</w:t>
      </w:r>
      <w:proofErr w:type="spellEnd"/>
      <w:r w:rsidR="004316F1" w:rsidRPr="004316F1">
        <w:rPr>
          <w:bCs/>
        </w:rPr>
        <w:t xml:space="preserve"> </w:t>
      </w:r>
      <w:r w:rsidR="004316F1" w:rsidRPr="004316F1">
        <w:rPr>
          <w:bCs/>
          <w:i/>
        </w:rPr>
        <w:t>of Owners, Satellite Apartment, Inc. v. Otte</w:t>
      </w:r>
      <w:r w:rsidR="004316F1" w:rsidRPr="004316F1">
        <w:rPr>
          <w:bCs/>
        </w:rPr>
        <w:t>, 550 P.2d 894</w:t>
      </w:r>
      <w:r w:rsidR="00E251BD">
        <w:rPr>
          <w:bCs/>
        </w:rPr>
        <w:t>, 896</w:t>
      </w:r>
      <w:r w:rsidR="004316F1" w:rsidRPr="004316F1">
        <w:rPr>
          <w:bCs/>
        </w:rPr>
        <w:t xml:space="preserve"> (Colo. App. 1976)</w:t>
      </w:r>
      <w:r w:rsidR="00E251BD">
        <w:rPr>
          <w:bCs/>
        </w:rPr>
        <w:t xml:space="preserve"> </w:t>
      </w:r>
      <w:r w:rsidR="00E251BD" w:rsidRPr="004316F1">
        <w:rPr>
          <w:bCs/>
        </w:rPr>
        <w:t>(suit for violation of building restriction contained in bylaws is a suit for breach of contract</w:t>
      </w:r>
      <w:r w:rsidR="00E251BD">
        <w:rPr>
          <w:bCs/>
        </w:rPr>
        <w:t>)</w:t>
      </w:r>
      <w:r w:rsidR="004316F1">
        <w:rPr>
          <w:bCs/>
        </w:rPr>
        <w:t>.</w:t>
      </w:r>
    </w:p>
    <w:p w:rsidR="006A0CDE" w:rsidRPr="00E66CD9" w:rsidRDefault="00A44455" w:rsidP="006945B1">
      <w:pPr>
        <w:pStyle w:val="BodyText"/>
      </w:pPr>
      <w:r w:rsidRPr="00E66CD9">
        <w:t>Comment 1 to § 3-105</w:t>
      </w:r>
      <w:r w:rsidR="00881667" w:rsidRPr="00E66CD9">
        <w:t xml:space="preserve"> of the Uniform Act</w:t>
      </w:r>
      <w:r w:rsidRPr="00E66CD9">
        <w:t xml:space="preserve"> (</w:t>
      </w:r>
      <w:r w:rsidR="00881667" w:rsidRPr="00E66CD9">
        <w:t>§ 3-105</w:t>
      </w:r>
      <w:r w:rsidRPr="00E66CD9">
        <w:t xml:space="preserve"> corresponds to C.R.S. § 38-33.3-305(1)(b)) specifically notes that this contract termination provision is </w:t>
      </w:r>
      <w:r w:rsidR="00881667" w:rsidRPr="00E66CD9">
        <w:t xml:space="preserve">intended </w:t>
      </w:r>
      <w:r w:rsidRPr="00E66CD9">
        <w:t>to address the problem of self-dealing declarant-created contracts:</w:t>
      </w:r>
    </w:p>
    <w:p w:rsidR="006A0CDE" w:rsidRPr="00E66CD9" w:rsidRDefault="00A44455" w:rsidP="002446CD">
      <w:pPr>
        <w:pStyle w:val="Quote"/>
      </w:pPr>
      <w:r w:rsidRPr="00E66CD9">
        <w:rPr>
          <w:u w:color="000000"/>
        </w:rPr>
        <w:lastRenderedPageBreak/>
        <w:t xml:space="preserve">This section deals with a common </w:t>
      </w:r>
      <w:r w:rsidRPr="002446CD">
        <w:rPr>
          <w:noProof/>
        </w:rPr>
        <w:t>problem</w:t>
      </w:r>
      <w:r w:rsidRPr="00E66CD9">
        <w:rPr>
          <w:u w:color="000000"/>
        </w:rPr>
        <w:t xml:space="preserve"> in the development of</w:t>
      </w:r>
      <w:r w:rsidRPr="00E66CD9">
        <w:t xml:space="preserve"> </w:t>
      </w:r>
      <w:r w:rsidRPr="00E66CD9">
        <w:rPr>
          <w:u w:color="000000"/>
        </w:rPr>
        <w:t>condominium, planned community and cooperative projects: the</w:t>
      </w:r>
      <w:r w:rsidRPr="00E66CD9">
        <w:t xml:space="preserve"> </w:t>
      </w:r>
      <w:r w:rsidRPr="00E66CD9">
        <w:rPr>
          <w:u w:color="000000"/>
        </w:rPr>
        <w:t>temptation on the part of the developer, while in control of the</w:t>
      </w:r>
      <w:r w:rsidRPr="00E66CD9">
        <w:t xml:space="preserve"> </w:t>
      </w:r>
      <w:r w:rsidRPr="00E66CD9">
        <w:rPr>
          <w:u w:color="000000"/>
        </w:rPr>
        <w:t xml:space="preserve">association, to </w:t>
      </w:r>
      <w:proofErr w:type="gramStart"/>
      <w:r w:rsidRPr="00E66CD9">
        <w:rPr>
          <w:u w:color="000000"/>
        </w:rPr>
        <w:t>enter into,</w:t>
      </w:r>
      <w:proofErr w:type="gramEnd"/>
      <w:r w:rsidRPr="00E66CD9">
        <w:rPr>
          <w:u w:color="000000"/>
        </w:rPr>
        <w:t xml:space="preserve"> on behalf of the </w:t>
      </w:r>
      <w:r w:rsidRPr="002446CD">
        <w:rPr>
          <w:noProof/>
        </w:rPr>
        <w:t>association</w:t>
      </w:r>
      <w:r w:rsidRPr="00E66CD9">
        <w:rPr>
          <w:u w:color="000000"/>
        </w:rPr>
        <w:t>, long-term</w:t>
      </w:r>
      <w:r w:rsidRPr="00E66CD9">
        <w:t xml:space="preserve"> </w:t>
      </w:r>
      <w:r w:rsidRPr="002446CD">
        <w:rPr>
          <w:noProof/>
        </w:rPr>
        <w:t>contracts</w:t>
      </w:r>
      <w:r w:rsidRPr="00E66CD9">
        <w:rPr>
          <w:u w:color="000000"/>
        </w:rPr>
        <w:t xml:space="preserve"> and leases with himself </w:t>
      </w:r>
      <w:r w:rsidRPr="00E66CD9">
        <w:t>or with an affiliated entity.</w:t>
      </w:r>
    </w:p>
    <w:p w:rsidR="006A0CDE" w:rsidRPr="00E66CD9" w:rsidRDefault="00A44455" w:rsidP="002446CD">
      <w:pPr>
        <w:pStyle w:val="Quote"/>
      </w:pPr>
      <w:r w:rsidRPr="00E66CD9">
        <w:rPr>
          <w:u w:val="single"/>
        </w:rPr>
        <w:t>The Act deals with this problem in two ways</w:t>
      </w:r>
      <w:r w:rsidRPr="00E66CD9">
        <w:t xml:space="preserve">. First, Section 3-103(a) imposes upon all executive board members appointed by the declarant liability as fiduciaries of the unit owners for </w:t>
      </w:r>
      <w:proofErr w:type="gramStart"/>
      <w:r w:rsidRPr="00E66CD9">
        <w:t>all of</w:t>
      </w:r>
      <w:proofErr w:type="gramEnd"/>
      <w:r w:rsidRPr="00E66CD9">
        <w:t xml:space="preserve"> their acts and omissions as members of the board. Second, Section 3-105 </w:t>
      </w:r>
      <w:r w:rsidRPr="00E66CD9">
        <w:rPr>
          <w:u w:val="single"/>
        </w:rPr>
        <w:t>provides for the termination of certain contracts and leases made during a period of declarant control</w:t>
      </w:r>
      <w:r w:rsidRPr="00E66CD9">
        <w:t>.</w:t>
      </w:r>
    </w:p>
    <w:p w:rsidR="006A0CDE" w:rsidRPr="00E66CD9" w:rsidRDefault="00872919" w:rsidP="00872919">
      <w:pPr>
        <w:pStyle w:val="BodyText"/>
        <w:ind w:firstLine="0"/>
      </w:pPr>
      <w:r w:rsidRPr="00E66CD9">
        <w:t>U</w:t>
      </w:r>
      <w:r w:rsidR="00A44455" w:rsidRPr="00E66CD9">
        <w:t xml:space="preserve">niform Act, § 3-105, </w:t>
      </w:r>
      <w:r w:rsidR="00A44455" w:rsidRPr="002446CD">
        <w:rPr>
          <w:noProof/>
        </w:rPr>
        <w:t>cmt</w:t>
      </w:r>
      <w:r w:rsidR="00A44455" w:rsidRPr="00E66CD9">
        <w:t>. 1 (emphasis added). Thus, like the CCIOA provisions cited in §</w:t>
      </w:r>
      <w:r w:rsidRPr="00E66CD9">
        <w:t xml:space="preserve"> </w:t>
      </w:r>
      <w:r w:rsidR="00A44455" w:rsidRPr="002446CD">
        <w:rPr>
          <w:noProof/>
        </w:rPr>
        <w:t xml:space="preserve">A </w:t>
      </w:r>
      <w:r w:rsidR="002446CD" w:rsidRPr="002446CD">
        <w:rPr>
          <w:noProof/>
        </w:rPr>
        <w:t>(</w:t>
      </w:r>
      <w:r w:rsidR="00A44455" w:rsidRPr="002446CD">
        <w:rPr>
          <w:noProof/>
        </w:rPr>
        <w:t>above</w:t>
      </w:r>
      <w:r w:rsidR="002446CD" w:rsidRPr="002446CD">
        <w:rPr>
          <w:noProof/>
        </w:rPr>
        <w:t>)</w:t>
      </w:r>
      <w:r w:rsidR="00A44455" w:rsidRPr="002446CD">
        <w:rPr>
          <w:noProof/>
        </w:rPr>
        <w:t>,</w:t>
      </w:r>
      <w:r w:rsidR="00A44455" w:rsidRPr="00E66CD9">
        <w:t xml:space="preserve"> </w:t>
      </w:r>
      <w:r w:rsidR="00881667" w:rsidRPr="00E66CD9">
        <w:t xml:space="preserve">the </w:t>
      </w:r>
      <w:r w:rsidR="003755FA">
        <w:t>L</w:t>
      </w:r>
      <w:r w:rsidR="00881667" w:rsidRPr="00E66CD9">
        <w:t xml:space="preserve">egislature enacted </w:t>
      </w:r>
      <w:r w:rsidR="00A44455" w:rsidRPr="00E66CD9">
        <w:t>C.R.S. § 38-33.3-305(1)(b) to protect association</w:t>
      </w:r>
      <w:r w:rsidR="00881667" w:rsidRPr="00E66CD9">
        <w:t>s</w:t>
      </w:r>
      <w:r w:rsidR="00A44455" w:rsidRPr="00E66CD9">
        <w:t xml:space="preserve"> from declarant</w:t>
      </w:r>
      <w:r w:rsidR="00881667" w:rsidRPr="00E66CD9">
        <w:t>s</w:t>
      </w:r>
      <w:r w:rsidR="00A44455" w:rsidRPr="00E66CD9">
        <w:t xml:space="preserve"> who draft contractual provisions that benefit declarant</w:t>
      </w:r>
      <w:r w:rsidR="00881667" w:rsidRPr="00E66CD9">
        <w:t>s</w:t>
      </w:r>
      <w:r w:rsidR="00A44455" w:rsidRPr="00E66CD9">
        <w:t xml:space="preserve"> at the </w:t>
      </w:r>
      <w:r w:rsidR="00881667" w:rsidRPr="00E66CD9">
        <w:t xml:space="preserve">association’s </w:t>
      </w:r>
      <w:r w:rsidR="00A44455" w:rsidRPr="00E66CD9">
        <w:t>expense</w:t>
      </w:r>
      <w:r w:rsidR="00881667" w:rsidRPr="00E66CD9">
        <w:t>.</w:t>
      </w:r>
      <w:r w:rsidR="00A44455" w:rsidRPr="00E66CD9">
        <w:t xml:space="preserve"> </w:t>
      </w:r>
    </w:p>
    <w:p w:rsidR="006A0CDE" w:rsidRPr="00E66CD9" w:rsidRDefault="00907A7A" w:rsidP="00B053ED">
      <w:pPr>
        <w:pStyle w:val="Heading2"/>
        <w:jc w:val="both"/>
        <w:rPr>
          <w:rFonts w:ascii="Times New Roman" w:hAnsi="Times New Roman" w:cs="Times New Roman"/>
          <w:spacing w:val="0"/>
        </w:rPr>
      </w:pPr>
      <w:bookmarkStart w:id="6" w:name="_Toc459368435"/>
      <w:r>
        <w:rPr>
          <w:rFonts w:ascii="Times New Roman" w:hAnsi="Times New Roman" w:cs="Times New Roman"/>
          <w:spacing w:val="0"/>
        </w:rPr>
        <w:t>C</w:t>
      </w:r>
      <w:r w:rsidR="00872919" w:rsidRPr="00E66CD9">
        <w:rPr>
          <w:rFonts w:ascii="Times New Roman" w:hAnsi="Times New Roman" w:cs="Times New Roman"/>
          <w:spacing w:val="0"/>
        </w:rPr>
        <w:t>.</w:t>
      </w:r>
      <w:r w:rsidR="00872919" w:rsidRPr="00E66CD9">
        <w:rPr>
          <w:rFonts w:ascii="Times New Roman" w:hAnsi="Times New Roman" w:cs="Times New Roman"/>
          <w:spacing w:val="0"/>
        </w:rPr>
        <w:tab/>
      </w:r>
      <w:r w:rsidR="00A44455" w:rsidRPr="00E66CD9">
        <w:rPr>
          <w:rFonts w:ascii="Times New Roman" w:hAnsi="Times New Roman" w:cs="Times New Roman"/>
          <w:spacing w:val="0"/>
        </w:rPr>
        <w:t>THE COURT OF APPEAL</w:t>
      </w:r>
      <w:r w:rsidR="00881667" w:rsidRPr="00E66CD9">
        <w:rPr>
          <w:rFonts w:ascii="Times New Roman" w:hAnsi="Times New Roman" w:cs="Times New Roman"/>
          <w:spacing w:val="0"/>
        </w:rPr>
        <w:t>S’ OPINION</w:t>
      </w:r>
      <w:r w:rsidR="00A44455" w:rsidRPr="00E66CD9">
        <w:rPr>
          <w:rFonts w:ascii="Times New Roman" w:hAnsi="Times New Roman" w:cs="Times New Roman"/>
          <w:spacing w:val="0"/>
        </w:rPr>
        <w:t xml:space="preserve"> </w:t>
      </w:r>
      <w:r w:rsidR="00030494">
        <w:rPr>
          <w:rFonts w:ascii="Times New Roman" w:hAnsi="Times New Roman" w:cs="Times New Roman"/>
          <w:spacing w:val="0"/>
        </w:rPr>
        <w:t xml:space="preserve">IMPROPERLY </w:t>
      </w:r>
      <w:r w:rsidR="00A44455" w:rsidRPr="00E66CD9">
        <w:rPr>
          <w:rFonts w:ascii="Times New Roman" w:hAnsi="Times New Roman" w:cs="Times New Roman"/>
          <w:spacing w:val="0"/>
        </w:rPr>
        <w:t xml:space="preserve">GIVES UNLIMITED LICENSE </w:t>
      </w:r>
      <w:r w:rsidR="00030494">
        <w:rPr>
          <w:rFonts w:ascii="Times New Roman" w:hAnsi="Times New Roman" w:cs="Times New Roman"/>
          <w:spacing w:val="0"/>
        </w:rPr>
        <w:t xml:space="preserve">TO </w:t>
      </w:r>
      <w:r w:rsidR="00A44455" w:rsidRPr="00E66CD9">
        <w:rPr>
          <w:rFonts w:ascii="Times New Roman" w:hAnsi="Times New Roman" w:cs="Times New Roman"/>
          <w:spacing w:val="0"/>
        </w:rPr>
        <w:t xml:space="preserve">DECLARANTS TO </w:t>
      </w:r>
      <w:r w:rsidR="00881667" w:rsidRPr="00E66CD9">
        <w:rPr>
          <w:rFonts w:ascii="Times New Roman" w:hAnsi="Times New Roman" w:cs="Times New Roman"/>
          <w:spacing w:val="0"/>
        </w:rPr>
        <w:t xml:space="preserve">UNILATERALLY ADOPT PERMANENT, </w:t>
      </w:r>
      <w:r w:rsidR="00A44455" w:rsidRPr="00E66CD9">
        <w:rPr>
          <w:rFonts w:ascii="Times New Roman" w:hAnsi="Times New Roman" w:cs="Times New Roman"/>
          <w:spacing w:val="0"/>
        </w:rPr>
        <w:t>SELF-SERVING DECLARATIONS</w:t>
      </w:r>
      <w:r w:rsidR="00030494">
        <w:rPr>
          <w:rFonts w:ascii="Times New Roman" w:hAnsi="Times New Roman" w:cs="Times New Roman"/>
          <w:spacing w:val="0"/>
        </w:rPr>
        <w:t>, IN CONTR</w:t>
      </w:r>
      <w:r w:rsidR="002446CD">
        <w:rPr>
          <w:rFonts w:ascii="Times New Roman" w:hAnsi="Times New Roman" w:cs="Times New Roman"/>
          <w:spacing w:val="0"/>
        </w:rPr>
        <w:t>A</w:t>
      </w:r>
      <w:r w:rsidR="00030494">
        <w:rPr>
          <w:rFonts w:ascii="Times New Roman" w:hAnsi="Times New Roman" w:cs="Times New Roman"/>
          <w:spacing w:val="0"/>
        </w:rPr>
        <w:t xml:space="preserve">VENTION </w:t>
      </w:r>
      <w:r w:rsidR="00030494" w:rsidRPr="00E66CD9">
        <w:rPr>
          <w:rFonts w:ascii="Times New Roman" w:hAnsi="Times New Roman" w:cs="Times New Roman"/>
          <w:spacing w:val="0"/>
        </w:rPr>
        <w:t xml:space="preserve">OF </w:t>
      </w:r>
      <w:r w:rsidR="00030494">
        <w:rPr>
          <w:rFonts w:ascii="Times New Roman" w:hAnsi="Times New Roman" w:cs="Times New Roman"/>
          <w:spacing w:val="0"/>
        </w:rPr>
        <w:t xml:space="preserve">CCIOA AND THE SELF-GOVERNANCE </w:t>
      </w:r>
      <w:r w:rsidR="00030494" w:rsidRPr="00E66CD9">
        <w:rPr>
          <w:rFonts w:ascii="Times New Roman" w:hAnsi="Times New Roman" w:cs="Times New Roman"/>
          <w:spacing w:val="0"/>
        </w:rPr>
        <w:t>PUBLIC POLIC</w:t>
      </w:r>
      <w:r w:rsidR="00030494">
        <w:rPr>
          <w:rFonts w:ascii="Times New Roman" w:hAnsi="Times New Roman" w:cs="Times New Roman"/>
          <w:spacing w:val="0"/>
        </w:rPr>
        <w:t>IES UNDE</w:t>
      </w:r>
      <w:r w:rsidR="002446CD">
        <w:rPr>
          <w:rFonts w:ascii="Times New Roman" w:hAnsi="Times New Roman" w:cs="Times New Roman"/>
          <w:spacing w:val="0"/>
        </w:rPr>
        <w:t>R</w:t>
      </w:r>
      <w:r w:rsidR="00030494">
        <w:rPr>
          <w:rFonts w:ascii="Times New Roman" w:hAnsi="Times New Roman" w:cs="Times New Roman"/>
          <w:spacing w:val="0"/>
        </w:rPr>
        <w:t>LYING THAT LAW</w:t>
      </w:r>
      <w:r w:rsidR="00A44455" w:rsidRPr="00E66CD9">
        <w:rPr>
          <w:rFonts w:ascii="Times New Roman" w:hAnsi="Times New Roman" w:cs="Times New Roman"/>
          <w:spacing w:val="0"/>
        </w:rPr>
        <w:t>.</w:t>
      </w:r>
      <w:bookmarkEnd w:id="6"/>
    </w:p>
    <w:p w:rsidR="00030494" w:rsidRDefault="00030494" w:rsidP="00872919">
      <w:pPr>
        <w:pStyle w:val="BodyText"/>
      </w:pPr>
      <w:r>
        <w:t>G</w:t>
      </w:r>
      <w:r w:rsidR="00A44455" w:rsidRPr="00E66CD9">
        <w:t>iven the opportunity, declarants will draft self-serving declarations to serve the purpose of insulating the</w:t>
      </w:r>
      <w:r>
        <w:t xml:space="preserve">mselves </w:t>
      </w:r>
      <w:r w:rsidR="00A44455" w:rsidRPr="00E66CD9">
        <w:t>from liability.</w:t>
      </w:r>
      <w:r w:rsidR="002446CD">
        <w:t xml:space="preserve"> </w:t>
      </w:r>
      <w:r w:rsidR="00A44455" w:rsidRPr="00E66CD9">
        <w:t xml:space="preserve"> </w:t>
      </w:r>
      <w:r w:rsidR="002446CD" w:rsidRPr="00E66CD9">
        <w:t xml:space="preserve">Examples of self-serving provisions </w:t>
      </w:r>
      <w:r w:rsidR="002446CD">
        <w:t xml:space="preserve">and discussion appear in the </w:t>
      </w:r>
      <w:r w:rsidR="002446CD" w:rsidRPr="00E66CD9">
        <w:t>Build our Homes Right Amicus Brief</w:t>
      </w:r>
      <w:r w:rsidR="002446CD">
        <w:t xml:space="preserve">.  CAI agrees with BOHR’s assessment. </w:t>
      </w:r>
      <w:r w:rsidR="00A44455" w:rsidRPr="00E66CD9">
        <w:t xml:space="preserve"> </w:t>
      </w:r>
    </w:p>
    <w:p w:rsidR="006A0CDE" w:rsidRPr="00E66CD9" w:rsidRDefault="00907A7A" w:rsidP="00627DB2">
      <w:pPr>
        <w:pStyle w:val="Heading2"/>
        <w:rPr>
          <w:rFonts w:ascii="Times New Roman" w:hAnsi="Times New Roman" w:cs="Times New Roman"/>
          <w:spacing w:val="0"/>
        </w:rPr>
      </w:pPr>
      <w:bookmarkStart w:id="7" w:name="_Toc459368436"/>
      <w:r>
        <w:rPr>
          <w:rFonts w:ascii="Times New Roman" w:hAnsi="Times New Roman" w:cs="Times New Roman"/>
          <w:spacing w:val="0"/>
        </w:rPr>
        <w:lastRenderedPageBreak/>
        <w:t>D</w:t>
      </w:r>
      <w:r w:rsidR="00872919" w:rsidRPr="00E66CD9">
        <w:rPr>
          <w:rFonts w:ascii="Times New Roman" w:hAnsi="Times New Roman" w:cs="Times New Roman"/>
          <w:spacing w:val="0"/>
        </w:rPr>
        <w:t>.</w:t>
      </w:r>
      <w:r w:rsidR="00872919" w:rsidRPr="00E66CD9">
        <w:rPr>
          <w:rFonts w:ascii="Times New Roman" w:hAnsi="Times New Roman" w:cs="Times New Roman"/>
          <w:spacing w:val="0"/>
        </w:rPr>
        <w:tab/>
      </w:r>
      <w:r w:rsidR="00881667" w:rsidRPr="00E66CD9">
        <w:rPr>
          <w:rFonts w:ascii="Times New Roman" w:hAnsi="Times New Roman" w:cs="Times New Roman"/>
          <w:spacing w:val="0"/>
        </w:rPr>
        <w:t xml:space="preserve">A </w:t>
      </w:r>
      <w:r w:rsidR="00A44455" w:rsidRPr="00E66CD9">
        <w:rPr>
          <w:rFonts w:ascii="Times New Roman" w:hAnsi="Times New Roman" w:cs="Times New Roman"/>
          <w:spacing w:val="0"/>
        </w:rPr>
        <w:t xml:space="preserve">DECLARANT’S </w:t>
      </w:r>
      <w:r w:rsidR="00881667" w:rsidRPr="00E66CD9">
        <w:rPr>
          <w:rFonts w:ascii="Times New Roman" w:hAnsi="Times New Roman" w:cs="Times New Roman"/>
          <w:spacing w:val="0"/>
        </w:rPr>
        <w:t xml:space="preserve">RESERVATION </w:t>
      </w:r>
      <w:r w:rsidR="00A44455" w:rsidRPr="00E66CD9">
        <w:rPr>
          <w:rFonts w:ascii="Times New Roman" w:hAnsi="Times New Roman" w:cs="Times New Roman"/>
          <w:spacing w:val="0"/>
        </w:rPr>
        <w:t xml:space="preserve">OF </w:t>
      </w:r>
      <w:r w:rsidR="00881667" w:rsidRPr="00E66CD9">
        <w:rPr>
          <w:rFonts w:ascii="Times New Roman" w:hAnsi="Times New Roman" w:cs="Times New Roman"/>
          <w:spacing w:val="0"/>
        </w:rPr>
        <w:t xml:space="preserve">A </w:t>
      </w:r>
      <w:r w:rsidR="00A44455" w:rsidRPr="00E66CD9">
        <w:rPr>
          <w:rFonts w:ascii="Times New Roman" w:hAnsi="Times New Roman" w:cs="Times New Roman"/>
          <w:spacing w:val="0"/>
        </w:rPr>
        <w:t xml:space="preserve">VETO POWER IN AN ASSOCIATION’S DECLARATIONS </w:t>
      </w:r>
      <w:r w:rsidR="00881667" w:rsidRPr="00E66CD9">
        <w:rPr>
          <w:rFonts w:ascii="Times New Roman" w:hAnsi="Times New Roman" w:cs="Times New Roman"/>
          <w:spacing w:val="0"/>
        </w:rPr>
        <w:t xml:space="preserve">VIOLATES </w:t>
      </w:r>
      <w:r w:rsidR="00A44455" w:rsidRPr="00E66CD9">
        <w:rPr>
          <w:rFonts w:ascii="Times New Roman" w:hAnsi="Times New Roman" w:cs="Times New Roman"/>
          <w:spacing w:val="0"/>
        </w:rPr>
        <w:t xml:space="preserve">THE DECLARANT’S FIDUCIARY DUTY TO THE </w:t>
      </w:r>
      <w:r w:rsidR="00881667" w:rsidRPr="00E66CD9">
        <w:rPr>
          <w:rFonts w:ascii="Times New Roman" w:hAnsi="Times New Roman" w:cs="Times New Roman"/>
          <w:spacing w:val="0"/>
        </w:rPr>
        <w:t xml:space="preserve">ASSOCIATION’S </w:t>
      </w:r>
      <w:r w:rsidR="00A44455" w:rsidRPr="00E66CD9">
        <w:rPr>
          <w:rFonts w:ascii="Times New Roman" w:hAnsi="Times New Roman" w:cs="Times New Roman"/>
          <w:spacing w:val="0"/>
        </w:rPr>
        <w:t>OWNERS</w:t>
      </w:r>
      <w:r w:rsidR="00881667" w:rsidRPr="00E66CD9">
        <w:rPr>
          <w:rFonts w:ascii="Times New Roman" w:hAnsi="Times New Roman" w:cs="Times New Roman"/>
          <w:spacing w:val="0"/>
        </w:rPr>
        <w:t>.</w:t>
      </w:r>
      <w:bookmarkEnd w:id="7"/>
      <w:r w:rsidR="00A44455" w:rsidRPr="00E66CD9">
        <w:rPr>
          <w:rFonts w:ascii="Times New Roman" w:hAnsi="Times New Roman" w:cs="Times New Roman"/>
          <w:spacing w:val="0"/>
        </w:rPr>
        <w:t xml:space="preserve"> </w:t>
      </w:r>
    </w:p>
    <w:p w:rsidR="006A0CDE" w:rsidRPr="00E66CD9" w:rsidRDefault="00A44455" w:rsidP="00872919">
      <w:pPr>
        <w:pStyle w:val="BodyText"/>
      </w:pPr>
      <w:r w:rsidRPr="00E66CD9">
        <w:t>As</w:t>
      </w:r>
      <w:r w:rsidR="00872919" w:rsidRPr="00E66CD9">
        <w:t xml:space="preserve"> </w:t>
      </w:r>
      <w:r w:rsidR="00881667" w:rsidRPr="00E66CD9">
        <w:t xml:space="preserve">with </w:t>
      </w:r>
      <w:r w:rsidRPr="00E66CD9">
        <w:t>any</w:t>
      </w:r>
      <w:r w:rsidR="00872919" w:rsidRPr="00E66CD9">
        <w:t xml:space="preserve"> </w:t>
      </w:r>
      <w:r w:rsidRPr="00E66CD9">
        <w:t>other</w:t>
      </w:r>
      <w:r w:rsidR="00872919" w:rsidRPr="00E66CD9">
        <w:t xml:space="preserve"> </w:t>
      </w:r>
      <w:r w:rsidRPr="00E66CD9">
        <w:t>corporation,</w:t>
      </w:r>
      <w:r w:rsidR="00872919" w:rsidRPr="00E66CD9">
        <w:t xml:space="preserve"> </w:t>
      </w:r>
      <w:r w:rsidR="00B053ED" w:rsidRPr="00E66CD9">
        <w:t>a</w:t>
      </w:r>
      <w:r w:rsidR="00872919" w:rsidRPr="00E66CD9">
        <w:t xml:space="preserve"> </w:t>
      </w:r>
      <w:r w:rsidRPr="00E66CD9">
        <w:t>majority</w:t>
      </w:r>
      <w:r w:rsidR="00872919" w:rsidRPr="00E66CD9">
        <w:t xml:space="preserve"> </w:t>
      </w:r>
      <w:r w:rsidRPr="00E66CD9">
        <w:t>member</w:t>
      </w:r>
      <w:r w:rsidR="00872919" w:rsidRPr="00E66CD9">
        <w:t xml:space="preserve"> </w:t>
      </w:r>
      <w:r w:rsidRPr="00E66CD9">
        <w:t>of</w:t>
      </w:r>
      <w:r w:rsidR="00872919" w:rsidRPr="00E66CD9">
        <w:t xml:space="preserve"> </w:t>
      </w:r>
      <w:r w:rsidR="00A77454">
        <w:t xml:space="preserve">a </w:t>
      </w:r>
      <w:r w:rsidRPr="00E66CD9">
        <w:t>community association owes a fiduciary duty to the</w:t>
      </w:r>
      <w:r w:rsidR="00881667" w:rsidRPr="00E66CD9">
        <w:t xml:space="preserve"> </w:t>
      </w:r>
      <w:r w:rsidR="00881667" w:rsidRPr="002446CD">
        <w:rPr>
          <w:noProof/>
        </w:rPr>
        <w:t>corporation</w:t>
      </w:r>
      <w:r w:rsidR="00881667" w:rsidRPr="00E66CD9">
        <w:t>’s</w:t>
      </w:r>
      <w:r w:rsidRPr="00E66CD9">
        <w:t xml:space="preserve"> minority members</w:t>
      </w:r>
      <w:r w:rsidR="00881667" w:rsidRPr="00E66CD9">
        <w:t>:</w:t>
      </w:r>
      <w:r w:rsidRPr="00E66CD9">
        <w:t xml:space="preserve"> </w:t>
      </w:r>
    </w:p>
    <w:p w:rsidR="006A0CDE" w:rsidRPr="00E66CD9" w:rsidRDefault="00A44455" w:rsidP="002446CD">
      <w:pPr>
        <w:pStyle w:val="Quote"/>
      </w:pPr>
      <w:r w:rsidRPr="00E66CD9">
        <w:t>In a close corporation,</w:t>
      </w:r>
      <w:r w:rsidR="00881667" w:rsidRPr="00E66CD9">
        <w:t xml:space="preserve"> ‘</w:t>
      </w:r>
      <w:r w:rsidRPr="00E66CD9">
        <w:t>the relationship between shareholders is akin to that between partners.</w:t>
      </w:r>
      <w:r w:rsidR="00881667" w:rsidRPr="00E66CD9">
        <w:t>’</w:t>
      </w:r>
      <w:r w:rsidRPr="00E66CD9">
        <w:t xml:space="preserve"> Thus, majority shareholders and directors in close corporations owe the</w:t>
      </w:r>
      <w:r w:rsidR="00881667" w:rsidRPr="00E66CD9">
        <w:t xml:space="preserve"> ‘</w:t>
      </w:r>
      <w:r w:rsidRPr="00E66CD9">
        <w:t>highest</w:t>
      </w:r>
      <w:r w:rsidR="00872919" w:rsidRPr="00E66CD9">
        <w:t xml:space="preserve"> </w:t>
      </w:r>
      <w:r w:rsidRPr="00E66CD9">
        <w:t>degree of fidelity, loyalty, trust, faith and confidence</w:t>
      </w:r>
      <w:r w:rsidR="00881667" w:rsidRPr="00E66CD9">
        <w:t>’</w:t>
      </w:r>
      <w:r w:rsidRPr="00E66CD9">
        <w:t xml:space="preserve"> to their shareholders, and are required to exercise their utmost good faith and</w:t>
      </w:r>
      <w:r w:rsidR="00881667" w:rsidRPr="00E66CD9">
        <w:t xml:space="preserve"> ‘</w:t>
      </w:r>
      <w:r w:rsidRPr="002446CD">
        <w:rPr>
          <w:noProof/>
        </w:rPr>
        <w:t>cannot</w:t>
      </w:r>
      <w:r w:rsidRPr="00E66CD9">
        <w:t xml:space="preserve"> use their corporate power in bad faith or for their individual advantage.</w:t>
      </w:r>
      <w:r w:rsidR="00881667" w:rsidRPr="00E66CD9">
        <w:t>’</w:t>
      </w:r>
      <w:r w:rsidRPr="00E66CD9">
        <w:t xml:space="preserve"> </w:t>
      </w:r>
    </w:p>
    <w:p w:rsidR="00881667" w:rsidRPr="00E66CD9" w:rsidRDefault="00A44455" w:rsidP="00881667">
      <w:pPr>
        <w:pStyle w:val="BodyText"/>
        <w:ind w:firstLine="0"/>
      </w:pPr>
      <w:r w:rsidRPr="00E66CD9">
        <w:rPr>
          <w:i/>
        </w:rPr>
        <w:t>River Mgmt. Corp. v. Lodge Properties Inc</w:t>
      </w:r>
      <w:r w:rsidRPr="00E66CD9">
        <w:t>., 829 P.2d 398, 401 (Colo. App. 1991)</w:t>
      </w:r>
      <w:r w:rsidR="00A77454">
        <w:t xml:space="preserve"> (citations omitted)</w:t>
      </w:r>
      <w:r w:rsidRPr="00E66CD9">
        <w:t>. During the early stages</w:t>
      </w:r>
      <w:r w:rsidR="00A77454">
        <w:t xml:space="preserve"> of</w:t>
      </w:r>
      <w:r w:rsidRPr="00E66CD9">
        <w:t xml:space="preserve"> a community association</w:t>
      </w:r>
      <w:r w:rsidR="00881667" w:rsidRPr="00E66CD9">
        <w:t>’s development</w:t>
      </w:r>
      <w:r w:rsidRPr="00E66CD9">
        <w:t xml:space="preserve">, the declarant owns </w:t>
      </w:r>
      <w:proofErr w:type="gramStart"/>
      <w:r w:rsidRPr="00E66CD9">
        <w:t>the majority of</w:t>
      </w:r>
      <w:proofErr w:type="gramEnd"/>
      <w:r w:rsidRPr="00E66CD9">
        <w:t xml:space="preserve"> the units and is the</w:t>
      </w:r>
      <w:r w:rsidR="00881667" w:rsidRPr="00E66CD9">
        <w:t xml:space="preserve"> association’s</w:t>
      </w:r>
      <w:r w:rsidRPr="00E66CD9">
        <w:t xml:space="preserve"> majority member</w:t>
      </w:r>
      <w:r w:rsidR="00881667" w:rsidRPr="00E66CD9">
        <w:t>.</w:t>
      </w:r>
      <w:r w:rsidRPr="00E66CD9">
        <w:t xml:space="preserve"> As units </w:t>
      </w:r>
      <w:r w:rsidR="002446CD">
        <w:rPr>
          <w:noProof/>
        </w:rPr>
        <w:t>sell</w:t>
      </w:r>
      <w:r w:rsidRPr="00E66CD9">
        <w:t xml:space="preserve">, the purchasing owners become </w:t>
      </w:r>
      <w:r w:rsidR="00881667" w:rsidRPr="00E66CD9">
        <w:t xml:space="preserve">its </w:t>
      </w:r>
      <w:r w:rsidRPr="00E66CD9">
        <w:t>minority members</w:t>
      </w:r>
      <w:r w:rsidR="00881667" w:rsidRPr="00E66CD9">
        <w:t>.</w:t>
      </w:r>
      <w:r w:rsidRPr="00E66CD9">
        <w:t xml:space="preserve"> The declarant typically retains the right to appoint</w:t>
      </w:r>
      <w:r w:rsidR="00881667" w:rsidRPr="00E66CD9">
        <w:t xml:space="preserve"> executive board</w:t>
      </w:r>
      <w:r w:rsidRPr="00E66CD9">
        <w:t xml:space="preserve"> members</w:t>
      </w:r>
      <w:r w:rsidR="00881667" w:rsidRPr="00E66CD9">
        <w:t xml:space="preserve"> (directors)</w:t>
      </w:r>
      <w:r w:rsidRPr="00E66CD9">
        <w:t xml:space="preserve"> and to amend </w:t>
      </w:r>
      <w:r w:rsidR="00A77454">
        <w:t xml:space="preserve">aspects of </w:t>
      </w:r>
      <w:r w:rsidRPr="00E66CD9">
        <w:t>the declarations until the declarant has sold 75% of the units.</w:t>
      </w:r>
      <w:r w:rsidR="00881667" w:rsidRPr="00E66CD9">
        <w:t xml:space="preserve"> </w:t>
      </w:r>
      <w:r w:rsidR="00B053ED" w:rsidRPr="00E66CD9">
        <w:rPr>
          <w:i/>
        </w:rPr>
        <w:t>See</w:t>
      </w:r>
      <w:r w:rsidR="00B053ED" w:rsidRPr="00E66CD9">
        <w:t xml:space="preserve"> </w:t>
      </w:r>
      <w:r w:rsidRPr="00E66CD9">
        <w:t>C.R.S. § 38-33.3-303(5)(a)(I)</w:t>
      </w:r>
      <w:r w:rsidR="00B053ED" w:rsidRPr="00E66CD9">
        <w:t xml:space="preserve"> (authorizing such appointment)</w:t>
      </w:r>
      <w:r w:rsidRPr="00E66CD9">
        <w:t xml:space="preserve">. </w:t>
      </w:r>
    </w:p>
    <w:p w:rsidR="006A0CDE" w:rsidRPr="00E66CD9" w:rsidRDefault="00A44455" w:rsidP="006945B1">
      <w:pPr>
        <w:pStyle w:val="BodyText"/>
      </w:pPr>
      <w:r w:rsidRPr="00E66CD9">
        <w:t xml:space="preserve">CCIOA </w:t>
      </w:r>
      <w:r w:rsidR="00881667" w:rsidRPr="00E66CD9">
        <w:t xml:space="preserve">recognizes </w:t>
      </w:r>
      <w:r w:rsidRPr="00E66CD9">
        <w:t xml:space="preserve">this imbalance of power in community </w:t>
      </w:r>
      <w:r w:rsidR="00881667" w:rsidRPr="00E66CD9">
        <w:t xml:space="preserve">associations </w:t>
      </w:r>
      <w:r w:rsidRPr="00E66CD9">
        <w:t xml:space="preserve">and </w:t>
      </w:r>
      <w:r w:rsidR="00881667" w:rsidRPr="00E66CD9">
        <w:t xml:space="preserve">codifies </w:t>
      </w:r>
      <w:r w:rsidRPr="00E66CD9">
        <w:t>a fiduciary duty</w:t>
      </w:r>
      <w:r w:rsidR="00A77454">
        <w:t xml:space="preserve"> as a check on its exercise</w:t>
      </w:r>
      <w:r w:rsidRPr="00E66CD9">
        <w:t>:</w:t>
      </w:r>
    </w:p>
    <w:p w:rsidR="006A0CDE" w:rsidRPr="00E66CD9" w:rsidRDefault="00A44455" w:rsidP="002446CD">
      <w:pPr>
        <w:pStyle w:val="Quote"/>
      </w:pPr>
      <w:r w:rsidRPr="00E66CD9">
        <w:lastRenderedPageBreak/>
        <w:t>If appointed by the declarant, in the performance of their duties, the officers and members of the executive board are required to exercise the care required of fiduciaries of the unit owners.</w:t>
      </w:r>
    </w:p>
    <w:p w:rsidR="006A0CDE" w:rsidRPr="00E66CD9" w:rsidRDefault="00A44455" w:rsidP="00872919">
      <w:pPr>
        <w:pStyle w:val="BodyText"/>
        <w:ind w:firstLine="0"/>
      </w:pPr>
      <w:r w:rsidRPr="00E66CD9">
        <w:t>§ 38-33.3-303(2)(a). This fiduciary</w:t>
      </w:r>
      <w:r w:rsidR="00881667" w:rsidRPr="00E66CD9">
        <w:t xml:space="preserve"> </w:t>
      </w:r>
      <w:r w:rsidRPr="00E66CD9">
        <w:t>duty applies not</w:t>
      </w:r>
      <w:r w:rsidR="00881667" w:rsidRPr="00E66CD9">
        <w:t xml:space="preserve"> </w:t>
      </w:r>
      <w:r w:rsidRPr="00E66CD9">
        <w:t>only to the</w:t>
      </w:r>
      <w:r w:rsidR="00881667" w:rsidRPr="00E66CD9">
        <w:t xml:space="preserve"> declarant’s</w:t>
      </w:r>
      <w:r w:rsidRPr="00E66CD9">
        <w:t xml:space="preserve"> </w:t>
      </w:r>
      <w:r w:rsidRPr="002446CD">
        <w:rPr>
          <w:noProof/>
        </w:rPr>
        <w:t>appointees</w:t>
      </w:r>
      <w:r w:rsidRPr="00E66CD9">
        <w:t xml:space="preserve"> but to the declaran</w:t>
      </w:r>
      <w:r w:rsidR="00627DB2">
        <w:t>t itself. See C.R.S. § 38-33.3-</w:t>
      </w:r>
      <w:r w:rsidRPr="00E66CD9">
        <w:t>304(5)(b)(2)(C)</w:t>
      </w:r>
      <w:r w:rsidR="00881667" w:rsidRPr="00E66CD9">
        <w:t xml:space="preserve"> </w:t>
      </w:r>
      <w:r w:rsidRPr="00E66CD9">
        <w:t xml:space="preserve">(recognizing that a successor declarant would not be liable for “Breach of any fiduciary obligation by any previous declarant”). Because </w:t>
      </w:r>
      <w:r w:rsidR="00881667" w:rsidRPr="00E66CD9">
        <w:t xml:space="preserve">fiduciaries must </w:t>
      </w:r>
      <w:r w:rsidRPr="00E66CD9">
        <w:t xml:space="preserve">exercise their utmost good faith and “cannot use their corporate power in bad faith or for their individual advantage,” </w:t>
      </w:r>
      <w:r w:rsidRPr="00E66CD9">
        <w:rPr>
          <w:i/>
        </w:rPr>
        <w:t>River</w:t>
      </w:r>
      <w:r w:rsidR="00872919" w:rsidRPr="00E66CD9">
        <w:rPr>
          <w:i/>
        </w:rPr>
        <w:t xml:space="preserve"> </w:t>
      </w:r>
      <w:r w:rsidRPr="00E66CD9">
        <w:rPr>
          <w:i/>
        </w:rPr>
        <w:t xml:space="preserve">Mgmt. Corp., </w:t>
      </w:r>
      <w:r w:rsidRPr="00E66CD9">
        <w:t xml:space="preserve">829 P.2d at 401, it would be improper for a declarant to insert self-serving </w:t>
      </w:r>
      <w:r w:rsidR="00663F28">
        <w:t xml:space="preserve">declaration </w:t>
      </w:r>
      <w:r w:rsidRPr="00E66CD9">
        <w:t xml:space="preserve">provisions in the first place. These self-serving provisions are exactly what </w:t>
      </w:r>
      <w:r w:rsidR="00881667" w:rsidRPr="00E66CD9">
        <w:t xml:space="preserve">Colorado’s </w:t>
      </w:r>
      <w:r w:rsidR="00663F28">
        <w:t>L</w:t>
      </w:r>
      <w:r w:rsidR="00881667" w:rsidRPr="00E66CD9">
        <w:t>egislature sought</w:t>
      </w:r>
      <w:r w:rsidRPr="00E66CD9">
        <w:t xml:space="preserve"> to prevent </w:t>
      </w:r>
      <w:r w:rsidR="00881667" w:rsidRPr="00E66CD9">
        <w:t xml:space="preserve">by enacting </w:t>
      </w:r>
      <w:r w:rsidRPr="00E66CD9">
        <w:t>C.R.S. § 38-33.3-302(2), which states:</w:t>
      </w:r>
    </w:p>
    <w:p w:rsidR="006A0CDE" w:rsidRPr="00E66CD9" w:rsidRDefault="00A44455" w:rsidP="002446CD">
      <w:pPr>
        <w:pStyle w:val="Quote"/>
      </w:pPr>
      <w:r w:rsidRPr="00E66CD9">
        <w:t xml:space="preserve">The declaration may not impose limitations on the power of the association to deal with the declarant that </w:t>
      </w:r>
      <w:r w:rsidRPr="002446CD">
        <w:rPr>
          <w:noProof/>
        </w:rPr>
        <w:t>are</w:t>
      </w:r>
      <w:r w:rsidRPr="00E66CD9">
        <w:t xml:space="preserve"> more restrictive than the limitations imposed on the power of the association to deal with other persons.</w:t>
      </w:r>
    </w:p>
    <w:p w:rsidR="006A0CDE" w:rsidRPr="00E66CD9" w:rsidRDefault="00A44455" w:rsidP="00872919">
      <w:pPr>
        <w:pStyle w:val="BodyText"/>
        <w:ind w:firstLine="0"/>
      </w:pPr>
      <w:r w:rsidRPr="00E66CD9">
        <w:t xml:space="preserve">This </w:t>
      </w:r>
      <w:r w:rsidR="00663F28">
        <w:t xml:space="preserve">CCIOA </w:t>
      </w:r>
      <w:r w:rsidRPr="00E66CD9">
        <w:t>provision and others are all designed to prevent a declarant from treating the Association and its members unfairly.</w:t>
      </w:r>
    </w:p>
    <w:p w:rsidR="006A0CDE" w:rsidRPr="00E66CD9" w:rsidRDefault="00A44455" w:rsidP="00872919">
      <w:pPr>
        <w:pStyle w:val="Heading1"/>
        <w:numPr>
          <w:ilvl w:val="0"/>
          <w:numId w:val="3"/>
        </w:numPr>
        <w:tabs>
          <w:tab w:val="left" w:pos="3965"/>
        </w:tabs>
        <w:spacing w:after="240"/>
        <w:ind w:left="3960" w:hanging="461"/>
        <w:jc w:val="left"/>
        <w:rPr>
          <w:rFonts w:cs="Times New Roman"/>
          <w:b w:val="0"/>
          <w:bCs w:val="0"/>
        </w:rPr>
      </w:pPr>
      <w:bookmarkStart w:id="8" w:name="_Toc459368437"/>
      <w:r w:rsidRPr="00E66CD9">
        <w:rPr>
          <w:rFonts w:cs="Times New Roman"/>
        </w:rPr>
        <w:t>CONCLUSION</w:t>
      </w:r>
      <w:bookmarkEnd w:id="8"/>
    </w:p>
    <w:p w:rsidR="006A0CDE" w:rsidRPr="00E66CD9" w:rsidRDefault="00A44455" w:rsidP="00872919">
      <w:pPr>
        <w:pStyle w:val="BodyText"/>
      </w:pPr>
      <w:r w:rsidRPr="00E66CD9">
        <w:t xml:space="preserve">Wherefore, the Community Associations Institute respectfully asks this honorable Court to </w:t>
      </w:r>
      <w:r w:rsidR="00663F28">
        <w:t xml:space="preserve">reverse Court of Appeals’ decision, affirm the district court’s </w:t>
      </w:r>
      <w:r w:rsidR="00663F28">
        <w:lastRenderedPageBreak/>
        <w:t xml:space="preserve">original rulings, and </w:t>
      </w:r>
      <w:r w:rsidRPr="00E66CD9">
        <w:t>hold that:</w:t>
      </w:r>
    </w:p>
    <w:p w:rsidR="006A0CDE" w:rsidRPr="00E66CD9" w:rsidRDefault="00A44455" w:rsidP="00872919">
      <w:pPr>
        <w:pStyle w:val="BodyText"/>
        <w:numPr>
          <w:ilvl w:val="3"/>
          <w:numId w:val="1"/>
        </w:numPr>
        <w:ind w:left="720"/>
      </w:pPr>
      <w:r w:rsidRPr="00E66CD9">
        <w:t>Any declarat</w:t>
      </w:r>
      <w:r w:rsidR="00663F28">
        <w:t>ion</w:t>
      </w:r>
      <w:r w:rsidRPr="00E66CD9">
        <w:t xml:space="preserve"> provision </w:t>
      </w:r>
      <w:r w:rsidR="00663F28">
        <w:t xml:space="preserve">created </w:t>
      </w:r>
      <w:r w:rsidRPr="00E66CD9">
        <w:t xml:space="preserve">by </w:t>
      </w:r>
      <w:r w:rsidR="00663F28">
        <w:t xml:space="preserve">a </w:t>
      </w:r>
      <w:r w:rsidRPr="00E66CD9">
        <w:t xml:space="preserve">declarant that permits </w:t>
      </w:r>
      <w:r w:rsidR="00663F28">
        <w:t xml:space="preserve">it </w:t>
      </w:r>
      <w:r w:rsidRPr="00E66CD9">
        <w:t>to manage the community association</w:t>
      </w:r>
      <w:r w:rsidR="00663F28">
        <w:t>’s affairs</w:t>
      </w:r>
      <w:r w:rsidRPr="00E66CD9">
        <w:t xml:space="preserve"> after the declarant control period ends</w:t>
      </w:r>
      <w:r w:rsidR="00663F28">
        <w:t xml:space="preserve">, such as the veto/consent provision here, </w:t>
      </w:r>
      <w:r w:rsidRPr="00E66CD9">
        <w:t>impermissibl</w:t>
      </w:r>
      <w:r w:rsidR="00663F28">
        <w:t>y</w:t>
      </w:r>
      <w:r w:rsidRPr="00E66CD9">
        <w:t xml:space="preserve"> violat</w:t>
      </w:r>
      <w:r w:rsidR="00663F28">
        <w:t xml:space="preserve">es </w:t>
      </w:r>
      <w:r w:rsidRPr="00E66CD9">
        <w:t>the association</w:t>
      </w:r>
      <w:r w:rsidR="00B053ED" w:rsidRPr="00E66CD9">
        <w:t>’s</w:t>
      </w:r>
      <w:r w:rsidRPr="00E66CD9">
        <w:t xml:space="preserve"> </w:t>
      </w:r>
      <w:r w:rsidR="00663F28">
        <w:t xml:space="preserve">statutory </w:t>
      </w:r>
      <w:r w:rsidRPr="00E66CD9">
        <w:t>right to self- governance</w:t>
      </w:r>
      <w:r w:rsidR="00663F28">
        <w:t xml:space="preserve"> and is void</w:t>
      </w:r>
      <w:r w:rsidRPr="00E66CD9">
        <w:t>.</w:t>
      </w:r>
    </w:p>
    <w:p w:rsidR="006A0CDE" w:rsidRPr="00E66CD9" w:rsidRDefault="00A44455" w:rsidP="00872919">
      <w:pPr>
        <w:pStyle w:val="BodyText"/>
        <w:numPr>
          <w:ilvl w:val="3"/>
          <w:numId w:val="1"/>
        </w:numPr>
        <w:ind w:left="720"/>
      </w:pPr>
      <w:r w:rsidRPr="00E66CD9">
        <w:t xml:space="preserve">Any </w:t>
      </w:r>
      <w:r w:rsidR="00663F28">
        <w:t xml:space="preserve">form of </w:t>
      </w:r>
      <w:r w:rsidRPr="00E66CD9">
        <w:t xml:space="preserve">declarant veto power over an association’s ability to amend its </w:t>
      </w:r>
      <w:r w:rsidRPr="002446CD">
        <w:rPr>
          <w:noProof/>
        </w:rPr>
        <w:t>own</w:t>
      </w:r>
      <w:r w:rsidRPr="00E66CD9">
        <w:t xml:space="preserve"> governing documents </w:t>
      </w:r>
      <w:r w:rsidR="00881667" w:rsidRPr="00E66CD9">
        <w:t xml:space="preserve">is void as against public policy </w:t>
      </w:r>
      <w:r w:rsidR="00B053ED" w:rsidRPr="00E66CD9">
        <w:t xml:space="preserve">because it violates </w:t>
      </w:r>
      <w:r w:rsidRPr="00E66CD9">
        <w:t xml:space="preserve">the declarant’s fiduciary </w:t>
      </w:r>
      <w:r w:rsidR="00881667" w:rsidRPr="00E66CD9">
        <w:t xml:space="preserve">duties </w:t>
      </w:r>
      <w:r w:rsidRPr="00E66CD9">
        <w:t xml:space="preserve">to the association </w:t>
      </w:r>
      <w:r w:rsidR="00881667" w:rsidRPr="00E66CD9">
        <w:t xml:space="preserve">in </w:t>
      </w:r>
      <w:r w:rsidR="00B053ED" w:rsidRPr="00E66CD9">
        <w:t xml:space="preserve">contravention </w:t>
      </w:r>
      <w:r w:rsidRPr="00E66CD9">
        <w:t>of C.R.S. § 38-33.3-302(2).</w:t>
      </w:r>
    </w:p>
    <w:p w:rsidR="006A0CDE" w:rsidRPr="00663F28" w:rsidRDefault="00A44455" w:rsidP="00872919">
      <w:pPr>
        <w:pStyle w:val="BodyText"/>
        <w:numPr>
          <w:ilvl w:val="3"/>
          <w:numId w:val="1"/>
        </w:numPr>
        <w:ind w:left="720"/>
      </w:pPr>
      <w:r w:rsidRPr="00663F28">
        <w:t xml:space="preserve">Any declaration </w:t>
      </w:r>
      <w:r w:rsidR="00B053ED" w:rsidRPr="00663F28">
        <w:t xml:space="preserve">provision </w:t>
      </w:r>
      <w:r w:rsidRPr="00663F28">
        <w:t>that function</w:t>
      </w:r>
      <w:r w:rsidR="00B053ED" w:rsidRPr="00663F28">
        <w:t>s</w:t>
      </w:r>
      <w:r w:rsidRPr="00663F28">
        <w:t xml:space="preserve"> as a contract between the association and the declarant </w:t>
      </w:r>
      <w:r w:rsidR="00B053ED" w:rsidRPr="00663F28">
        <w:t xml:space="preserve">is </w:t>
      </w:r>
      <w:r w:rsidRPr="00663F28">
        <w:t xml:space="preserve">voidable by the association </w:t>
      </w:r>
      <w:r w:rsidR="00B053ED" w:rsidRPr="002446CD">
        <w:rPr>
          <w:noProof/>
        </w:rPr>
        <w:t>pursuant to</w:t>
      </w:r>
      <w:r w:rsidR="00B053ED" w:rsidRPr="00663F28">
        <w:t xml:space="preserve"> </w:t>
      </w:r>
      <w:r w:rsidRPr="00663F28">
        <w:t>C.R.S. § 38-33.3-305(1)(</w:t>
      </w:r>
      <w:r w:rsidR="000E75BF">
        <w:t>b</w:t>
      </w:r>
      <w:r w:rsidRPr="00663F28">
        <w:t>)</w:t>
      </w:r>
      <w:r w:rsidR="00663F28" w:rsidRPr="002446CD">
        <w:rPr>
          <w:noProof/>
        </w:rPr>
        <w:t>,</w:t>
      </w:r>
      <w:r w:rsidR="00663F28">
        <w:t xml:space="preserve"> and was voided by the Association’s actions here in disavowing the arbitration provision</w:t>
      </w:r>
      <w:r w:rsidR="002446CD">
        <w:t>.</w:t>
      </w:r>
    </w:p>
    <w:p w:rsidR="006A0CDE" w:rsidRPr="00E66CD9" w:rsidRDefault="00A44455" w:rsidP="00872919">
      <w:pPr>
        <w:pStyle w:val="BodyText"/>
      </w:pPr>
      <w:r w:rsidRPr="00E66CD9">
        <w:t xml:space="preserve">Respectfully submitted this </w:t>
      </w:r>
      <w:r w:rsidR="00BB7AB7">
        <w:t xml:space="preserve">22nd </w:t>
      </w:r>
      <w:r w:rsidRPr="00E66CD9">
        <w:t>of</w:t>
      </w:r>
      <w:r w:rsidR="006945B1" w:rsidRPr="00E66CD9">
        <w:t xml:space="preserve"> </w:t>
      </w:r>
      <w:r w:rsidR="00BB7AB7" w:rsidRPr="00BB7AB7">
        <w:rPr>
          <w:u w:color="000000"/>
        </w:rPr>
        <w:t>August</w:t>
      </w:r>
      <w:r w:rsidRPr="00E66CD9">
        <w:t>, 2016.</w:t>
      </w:r>
    </w:p>
    <w:p w:rsidR="006A0CDE" w:rsidRPr="00E66CD9" w:rsidRDefault="00A44455" w:rsidP="007C3943">
      <w:pPr>
        <w:pStyle w:val="BodyText"/>
        <w:ind w:left="3600" w:firstLine="0"/>
        <w:rPr>
          <w:b/>
          <w:bCs/>
        </w:rPr>
      </w:pPr>
      <w:r w:rsidRPr="00E66CD9">
        <w:t>BENSON, KERRANE, STORZ &amp; NELSON, P.C.</w:t>
      </w:r>
    </w:p>
    <w:p w:rsidR="006A0CDE" w:rsidRPr="00E66CD9" w:rsidRDefault="00A44455" w:rsidP="007C3943">
      <w:pPr>
        <w:pStyle w:val="Signature"/>
        <w:ind w:left="2880" w:firstLine="720"/>
        <w:rPr>
          <w:rFonts w:cs="Times New Roman"/>
          <w:szCs w:val="28"/>
        </w:rPr>
      </w:pPr>
      <w:r w:rsidRPr="00E66CD9">
        <w:rPr>
          <w:rFonts w:cs="Times New Roman"/>
          <w:szCs w:val="28"/>
        </w:rPr>
        <w:t>By:</w:t>
      </w:r>
    </w:p>
    <w:p w:rsidR="006A0CDE" w:rsidRPr="00E66CD9" w:rsidRDefault="001E192A" w:rsidP="002446CD">
      <w:pPr>
        <w:pStyle w:val="Signature"/>
        <w:ind w:left="2880" w:firstLine="720"/>
        <w:rPr>
          <w:rFonts w:eastAsia="Times New Roman" w:cs="Times New Roman"/>
          <w:szCs w:val="28"/>
        </w:rPr>
      </w:pPr>
      <w:r w:rsidRPr="002446CD">
        <w:rPr>
          <w:rFonts w:cs="Times New Roman"/>
          <w:noProof/>
          <w:szCs w:val="28"/>
        </w:rPr>
        <mc:AlternateContent>
          <mc:Choice Requires="wpg">
            <w:drawing>
              <wp:inline distT="0" distB="0" distL="0" distR="0" wp14:anchorId="71AA12A3" wp14:editId="2499DD7E">
                <wp:extent cx="3371353" cy="45719"/>
                <wp:effectExtent l="0" t="0" r="19685" b="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353" cy="45719"/>
                          <a:chOff x="0" y="0"/>
                          <a:chExt cx="6192" cy="12"/>
                        </a:xfrm>
                      </wpg:grpSpPr>
                      <wpg:grpSp>
                        <wpg:cNvPr id="8" name="Group 6"/>
                        <wpg:cNvGrpSpPr>
                          <a:grpSpLocks/>
                        </wpg:cNvGrpSpPr>
                        <wpg:grpSpPr bwMode="auto">
                          <a:xfrm>
                            <a:off x="6" y="6"/>
                            <a:ext cx="6180" cy="2"/>
                            <a:chOff x="6" y="6"/>
                            <a:chExt cx="6180" cy="2"/>
                          </a:xfrm>
                        </wpg:grpSpPr>
                        <wps:wsp>
                          <wps:cNvPr id="9" name="Freeform 7"/>
                          <wps:cNvSpPr>
                            <a:spLocks/>
                          </wps:cNvSpPr>
                          <wps:spPr bwMode="auto">
                            <a:xfrm>
                              <a:off x="6" y="6"/>
                              <a:ext cx="6180" cy="2"/>
                            </a:xfrm>
                            <a:custGeom>
                              <a:avLst/>
                              <a:gdLst>
                                <a:gd name="T0" fmla="+- 0 6 6"/>
                                <a:gd name="T1" fmla="*/ T0 w 6180"/>
                                <a:gd name="T2" fmla="+- 0 6186 6"/>
                                <a:gd name="T3" fmla="*/ T2 w 6180"/>
                              </a:gdLst>
                              <a:ahLst/>
                              <a:cxnLst>
                                <a:cxn ang="0">
                                  <a:pos x="T1" y="0"/>
                                </a:cxn>
                                <a:cxn ang="0">
                                  <a:pos x="T3" y="0"/>
                                </a:cxn>
                              </a:cxnLst>
                              <a:rect l="0" t="0" r="r" b="b"/>
                              <a:pathLst>
                                <a:path w="6180">
                                  <a:moveTo>
                                    <a:pt x="0" y="0"/>
                                  </a:moveTo>
                                  <a:lnTo>
                                    <a:pt x="61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6413DD" id="Group 5" o:spid="_x0000_s1026" style="width:265.45pt;height:3.6pt;mso-position-horizontal-relative:char;mso-position-vertical-relative:line" coordsize="61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">
                <v:group id="Group 6" o:spid="_x0000_s1027" style="position:absolute;left:6;top:6;width:6180;height:2" coordorigin="6,6" coordsize="6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6;top:6;width:6180;height:2;visibility:visible;mso-wrap-style:square;v-text-anchor:top" coordsize="6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" path="m,l6180,e" filled="f" strokeweight=".58pt">
                    <v:path arrowok="t" o:connecttype="custom" o:connectlocs="0,0;6180,0" o:connectangles="0,0"/>
                  </v:shape>
                </v:group>
                <w10:anchorlock/>
              </v:group>
            </w:pict>
          </mc:Fallback>
        </mc:AlternateContent>
      </w:r>
    </w:p>
    <w:p w:rsidR="00872919" w:rsidRPr="00E66CD9" w:rsidRDefault="00A44455" w:rsidP="00872919">
      <w:pPr>
        <w:pStyle w:val="Signature"/>
        <w:rPr>
          <w:rFonts w:cs="Times New Roman"/>
          <w:szCs w:val="28"/>
        </w:rPr>
      </w:pPr>
      <w:r w:rsidRPr="00E66CD9">
        <w:rPr>
          <w:rFonts w:cs="Times New Roman"/>
          <w:szCs w:val="28"/>
        </w:rPr>
        <w:t xml:space="preserve">Jeffrey P. Kerrane, Esq. (#34546) </w:t>
      </w:r>
    </w:p>
    <w:p w:rsidR="00872919" w:rsidRPr="00E66CD9" w:rsidRDefault="00A44455" w:rsidP="00872919">
      <w:pPr>
        <w:pStyle w:val="Signature"/>
        <w:rPr>
          <w:rFonts w:cs="Times New Roman"/>
          <w:szCs w:val="28"/>
        </w:rPr>
      </w:pPr>
      <w:r w:rsidRPr="00E66CD9">
        <w:rPr>
          <w:rFonts w:cs="Times New Roman"/>
          <w:szCs w:val="28"/>
        </w:rPr>
        <w:t xml:space="preserve">Benson, Kerrane, Storz &amp; Nelson, P.C. </w:t>
      </w:r>
    </w:p>
    <w:p w:rsidR="006A0CDE" w:rsidRPr="00E66CD9" w:rsidRDefault="00A44455" w:rsidP="00872919">
      <w:pPr>
        <w:pStyle w:val="Signature"/>
        <w:rPr>
          <w:rFonts w:cs="Times New Roman"/>
          <w:szCs w:val="28"/>
        </w:rPr>
      </w:pPr>
      <w:r w:rsidRPr="00E66CD9">
        <w:rPr>
          <w:rFonts w:cs="Times New Roman"/>
          <w:szCs w:val="28"/>
        </w:rPr>
        <w:t>110 N. Rubey Drive, Suite 200</w:t>
      </w:r>
    </w:p>
    <w:p w:rsidR="006A0CDE" w:rsidRPr="00E66CD9" w:rsidRDefault="00A44455" w:rsidP="00872919">
      <w:pPr>
        <w:pStyle w:val="Signature"/>
        <w:rPr>
          <w:rFonts w:cs="Times New Roman"/>
          <w:szCs w:val="28"/>
        </w:rPr>
      </w:pPr>
      <w:r w:rsidRPr="00E66CD9">
        <w:rPr>
          <w:rFonts w:cs="Times New Roman"/>
          <w:szCs w:val="28"/>
        </w:rPr>
        <w:t>Golden, Colorado 80403</w:t>
      </w:r>
    </w:p>
    <w:p w:rsidR="00872919" w:rsidRPr="00E66CD9" w:rsidRDefault="00872919" w:rsidP="00872919">
      <w:pPr>
        <w:pStyle w:val="Signature"/>
        <w:rPr>
          <w:rFonts w:cs="Times New Roman"/>
          <w:szCs w:val="28"/>
        </w:rPr>
      </w:pPr>
    </w:p>
    <w:p w:rsidR="00872919" w:rsidRPr="00E66CD9" w:rsidRDefault="00872919">
      <w:pPr>
        <w:rPr>
          <w:rFonts w:ascii="Times New Roman" w:eastAsia="Times New Roman" w:hAnsi="Times New Roman" w:cs="Times New Roman"/>
          <w:b/>
          <w:bCs/>
          <w:sz w:val="28"/>
          <w:szCs w:val="28"/>
        </w:rPr>
      </w:pPr>
      <w:r w:rsidRPr="00E66CD9">
        <w:rPr>
          <w:rFonts w:ascii="Times New Roman" w:hAnsi="Times New Roman" w:cs="Times New Roman"/>
          <w:sz w:val="28"/>
          <w:szCs w:val="28"/>
        </w:rPr>
        <w:br w:type="page"/>
      </w:r>
    </w:p>
    <w:p w:rsidR="006A0CDE" w:rsidRPr="00E66CD9" w:rsidRDefault="00A44455" w:rsidP="00872919">
      <w:pPr>
        <w:pStyle w:val="Heading1"/>
        <w:spacing w:after="240"/>
        <w:ind w:left="2921"/>
        <w:rPr>
          <w:rFonts w:cs="Times New Roman"/>
          <w:b w:val="0"/>
          <w:bCs w:val="0"/>
        </w:rPr>
      </w:pPr>
      <w:bookmarkStart w:id="9" w:name="_Toc459368438"/>
      <w:r w:rsidRPr="00E66CD9">
        <w:rPr>
          <w:rFonts w:cs="Times New Roman"/>
        </w:rPr>
        <w:lastRenderedPageBreak/>
        <w:t>CERTIFICATE OF SERVICE</w:t>
      </w:r>
      <w:bookmarkEnd w:id="9"/>
    </w:p>
    <w:p w:rsidR="006A0CDE" w:rsidRPr="00E66CD9" w:rsidRDefault="00A44455" w:rsidP="00872919">
      <w:pPr>
        <w:pStyle w:val="BodyText"/>
      </w:pPr>
      <w:r w:rsidRPr="006809FF">
        <w:rPr>
          <w:noProof/>
        </w:rPr>
        <w:t>I</w:t>
      </w:r>
      <w:r w:rsidRPr="00E66CD9">
        <w:t xml:space="preserve"> </w:t>
      </w:r>
      <w:r w:rsidRPr="006809FF">
        <w:rPr>
          <w:noProof/>
        </w:rPr>
        <w:t>hereby</w:t>
      </w:r>
      <w:r w:rsidRPr="00E66CD9">
        <w:t xml:space="preserve"> certify that, on this</w:t>
      </w:r>
      <w:r w:rsidR="006945B1" w:rsidRPr="00E66CD9">
        <w:t xml:space="preserve"> </w:t>
      </w:r>
      <w:r w:rsidR="004C7582" w:rsidRPr="004C7582">
        <w:rPr>
          <w:u w:color="000000"/>
        </w:rPr>
        <w:t xml:space="preserve">22nd </w:t>
      </w:r>
      <w:r w:rsidRPr="00E66CD9">
        <w:t>day of</w:t>
      </w:r>
      <w:r w:rsidR="006945B1" w:rsidRPr="00E66CD9">
        <w:t xml:space="preserve"> </w:t>
      </w:r>
      <w:r w:rsidR="00E66CD9" w:rsidRPr="006809FF">
        <w:rPr>
          <w:noProof/>
        </w:rPr>
        <w:t>August</w:t>
      </w:r>
      <w:r w:rsidRPr="006809FF">
        <w:rPr>
          <w:noProof/>
        </w:rPr>
        <w:t>,</w:t>
      </w:r>
      <w:r w:rsidRPr="00E66CD9">
        <w:t xml:space="preserve"> 2016 a true and</w:t>
      </w:r>
      <w:r w:rsidR="00872919" w:rsidRPr="00E66CD9">
        <w:t xml:space="preserve"> </w:t>
      </w:r>
      <w:r w:rsidRPr="00E66CD9">
        <w:t>correct</w:t>
      </w:r>
      <w:r w:rsidR="006945B1" w:rsidRPr="00E66CD9">
        <w:t xml:space="preserve"> </w:t>
      </w:r>
      <w:r w:rsidRPr="00E66CD9">
        <w:t>copy</w:t>
      </w:r>
      <w:r w:rsidR="006945B1" w:rsidRPr="00E66CD9">
        <w:t xml:space="preserve"> </w:t>
      </w:r>
      <w:r w:rsidRPr="00E66CD9">
        <w:t xml:space="preserve">of the </w:t>
      </w:r>
      <w:r w:rsidRPr="006809FF">
        <w:rPr>
          <w:noProof/>
        </w:rPr>
        <w:t>foregoing</w:t>
      </w:r>
      <w:r w:rsidR="006945B1" w:rsidRPr="00E66CD9">
        <w:t xml:space="preserve"> </w:t>
      </w:r>
      <w:r w:rsidRPr="006809FF">
        <w:rPr>
          <w:noProof/>
        </w:rPr>
        <w:t>was</w:t>
      </w:r>
      <w:r w:rsidR="006945B1" w:rsidRPr="006809FF">
        <w:rPr>
          <w:noProof/>
        </w:rPr>
        <w:t xml:space="preserve"> </w:t>
      </w:r>
      <w:r w:rsidRPr="006809FF">
        <w:rPr>
          <w:noProof/>
        </w:rPr>
        <w:t>placed</w:t>
      </w:r>
      <w:r w:rsidRPr="00E66CD9">
        <w:t xml:space="preserve"> in</w:t>
      </w:r>
      <w:r w:rsidR="006945B1" w:rsidRPr="00E66CD9">
        <w:t xml:space="preserve"> </w:t>
      </w:r>
      <w:r w:rsidRPr="00E66CD9">
        <w:t>the</w:t>
      </w:r>
      <w:r w:rsidR="006945B1" w:rsidRPr="00E66CD9">
        <w:t xml:space="preserve"> </w:t>
      </w:r>
      <w:r w:rsidRPr="00E66CD9">
        <w:t>United</w:t>
      </w:r>
      <w:r w:rsidR="006945B1" w:rsidRPr="00E66CD9">
        <w:t xml:space="preserve"> </w:t>
      </w:r>
      <w:r w:rsidRPr="00E66CD9">
        <w:t>States</w:t>
      </w:r>
      <w:r w:rsidR="006945B1" w:rsidRPr="00E66CD9">
        <w:t xml:space="preserve"> </w:t>
      </w:r>
      <w:r w:rsidRPr="00E66CD9">
        <w:t>Mail,</w:t>
      </w:r>
      <w:r w:rsidR="006945B1" w:rsidRPr="00E66CD9">
        <w:t xml:space="preserve"> </w:t>
      </w:r>
      <w:r w:rsidRPr="00E66CD9">
        <w:t>postage prepaid, and addressed to the following:</w:t>
      </w:r>
    </w:p>
    <w:p w:rsidR="00872919" w:rsidRDefault="00872919" w:rsidP="00872919">
      <w:pPr>
        <w:pStyle w:val="Signature"/>
        <w:ind w:left="360"/>
        <w:rPr>
          <w:rFonts w:cs="Times New Roman"/>
          <w:szCs w:val="28"/>
        </w:rPr>
      </w:pPr>
      <w:r w:rsidRPr="00E66CD9">
        <w:rPr>
          <w:rFonts w:cs="Times New Roman"/>
          <w:szCs w:val="28"/>
        </w:rPr>
        <w:t>Ronald Sandgrund, Esq.</w:t>
      </w:r>
    </w:p>
    <w:p w:rsidR="003755FA" w:rsidRDefault="00E66CD9" w:rsidP="00872919">
      <w:pPr>
        <w:pStyle w:val="Signature"/>
        <w:ind w:left="360"/>
        <w:rPr>
          <w:rFonts w:cs="Times New Roman"/>
          <w:szCs w:val="28"/>
        </w:rPr>
      </w:pPr>
      <w:r>
        <w:rPr>
          <w:rFonts w:cs="Times New Roman"/>
          <w:szCs w:val="28"/>
        </w:rPr>
        <w:t>Leslie Tuft, Esq.</w:t>
      </w:r>
    </w:p>
    <w:p w:rsidR="00E66CD9" w:rsidRPr="003B7D1C" w:rsidRDefault="00E66CD9" w:rsidP="00872919">
      <w:pPr>
        <w:pStyle w:val="Signature"/>
        <w:ind w:left="360"/>
        <w:rPr>
          <w:rFonts w:cs="Times New Roman"/>
          <w:szCs w:val="28"/>
          <w:lang w:val="fr-FR"/>
        </w:rPr>
      </w:pPr>
      <w:r w:rsidRPr="003B7D1C">
        <w:rPr>
          <w:rFonts w:cs="Times New Roman"/>
          <w:szCs w:val="28"/>
          <w:lang w:val="fr-FR"/>
        </w:rPr>
        <w:t xml:space="preserve">Scott </w:t>
      </w:r>
      <w:r w:rsidRPr="003B7D1C">
        <w:rPr>
          <w:rFonts w:cs="Times New Roman"/>
          <w:noProof/>
          <w:szCs w:val="28"/>
          <w:lang w:val="fr-FR"/>
        </w:rPr>
        <w:t>Sullan</w:t>
      </w:r>
      <w:r w:rsidRPr="003B7D1C">
        <w:rPr>
          <w:rFonts w:cs="Times New Roman"/>
          <w:szCs w:val="28"/>
          <w:lang w:val="fr-FR"/>
        </w:rPr>
        <w:t>, Esq.</w:t>
      </w:r>
    </w:p>
    <w:p w:rsidR="003755FA" w:rsidRPr="003B7D1C" w:rsidRDefault="003755FA" w:rsidP="003755FA">
      <w:pPr>
        <w:pStyle w:val="Signature"/>
        <w:ind w:left="360"/>
        <w:rPr>
          <w:rFonts w:cs="Times New Roman"/>
          <w:szCs w:val="28"/>
          <w:lang w:val="fr-FR"/>
        </w:rPr>
      </w:pPr>
      <w:r w:rsidRPr="003B7D1C">
        <w:rPr>
          <w:rFonts w:cs="Times New Roman"/>
          <w:szCs w:val="28"/>
          <w:lang w:val="fr-FR"/>
        </w:rPr>
        <w:t>Mari Perczak, Esq.</w:t>
      </w:r>
    </w:p>
    <w:p w:rsidR="00E66CD9" w:rsidRPr="003B7D1C" w:rsidRDefault="00E66CD9" w:rsidP="00872919">
      <w:pPr>
        <w:pStyle w:val="Signature"/>
        <w:ind w:left="360"/>
        <w:rPr>
          <w:rFonts w:cs="Times New Roman"/>
          <w:szCs w:val="28"/>
          <w:lang w:val="fr-FR"/>
        </w:rPr>
      </w:pPr>
      <w:r w:rsidRPr="003B7D1C">
        <w:rPr>
          <w:rFonts w:cs="Times New Roman"/>
          <w:szCs w:val="28"/>
          <w:lang w:val="fr-FR"/>
        </w:rPr>
        <w:t>Nelson Boyle, Esq.</w:t>
      </w:r>
    </w:p>
    <w:p w:rsidR="00E66CD9" w:rsidRPr="003B7D1C" w:rsidRDefault="00E66CD9" w:rsidP="00872919">
      <w:pPr>
        <w:pStyle w:val="Signature"/>
        <w:ind w:left="360"/>
        <w:rPr>
          <w:rFonts w:cs="Times New Roman"/>
          <w:szCs w:val="28"/>
          <w:lang w:val="fr-FR"/>
        </w:rPr>
      </w:pPr>
      <w:r w:rsidRPr="003B7D1C">
        <w:rPr>
          <w:rFonts w:cs="Times New Roman"/>
          <w:szCs w:val="28"/>
          <w:lang w:val="fr-FR"/>
        </w:rPr>
        <w:t>Brian Matise, Esq.</w:t>
      </w:r>
    </w:p>
    <w:p w:rsidR="006A0CDE" w:rsidRPr="00E66CD9" w:rsidRDefault="00A44455" w:rsidP="00872919">
      <w:pPr>
        <w:pStyle w:val="Signature"/>
        <w:ind w:left="360"/>
        <w:rPr>
          <w:rFonts w:cs="Times New Roman"/>
          <w:szCs w:val="28"/>
        </w:rPr>
      </w:pPr>
      <w:r w:rsidRPr="00E66CD9">
        <w:rPr>
          <w:rFonts w:cs="Times New Roman"/>
          <w:szCs w:val="28"/>
        </w:rPr>
        <w:t>B</w:t>
      </w:r>
      <w:r w:rsidR="00E66CD9">
        <w:rPr>
          <w:rFonts w:cs="Times New Roman"/>
          <w:szCs w:val="28"/>
        </w:rPr>
        <w:t>u</w:t>
      </w:r>
      <w:r w:rsidRPr="00E66CD9">
        <w:rPr>
          <w:rFonts w:cs="Times New Roman"/>
          <w:szCs w:val="28"/>
        </w:rPr>
        <w:t>rg Simpson Eldredge Hersh Jardine, P.C.</w:t>
      </w:r>
    </w:p>
    <w:p w:rsidR="00BA058F" w:rsidRDefault="00A44455" w:rsidP="00872919">
      <w:pPr>
        <w:pStyle w:val="Signature"/>
        <w:ind w:left="360"/>
        <w:rPr>
          <w:rFonts w:cs="Times New Roman"/>
          <w:szCs w:val="28"/>
        </w:rPr>
      </w:pPr>
      <w:r w:rsidRPr="00E66CD9">
        <w:rPr>
          <w:rFonts w:cs="Times New Roman"/>
          <w:szCs w:val="28"/>
        </w:rPr>
        <w:t xml:space="preserve">40 Inverness Drive East Englewood, Colorado 80112 </w:t>
      </w:r>
    </w:p>
    <w:p w:rsidR="006A0CDE" w:rsidRPr="00E66CD9" w:rsidRDefault="00A44455" w:rsidP="00872919">
      <w:pPr>
        <w:pStyle w:val="Signature"/>
        <w:ind w:left="360"/>
        <w:rPr>
          <w:rFonts w:cs="Times New Roman"/>
          <w:b/>
          <w:i/>
          <w:szCs w:val="28"/>
        </w:rPr>
      </w:pPr>
      <w:r w:rsidRPr="00E66CD9">
        <w:rPr>
          <w:rFonts w:cs="Times New Roman"/>
          <w:b/>
          <w:i/>
          <w:szCs w:val="28"/>
        </w:rPr>
        <w:t>Attorneys for Plaintiff/Appellee Vallagio at Inverness Residential Condominium Association</w:t>
      </w:r>
    </w:p>
    <w:p w:rsidR="00872919" w:rsidRPr="00E66CD9" w:rsidRDefault="00872919" w:rsidP="00872919">
      <w:pPr>
        <w:pStyle w:val="Signature"/>
        <w:ind w:left="360"/>
        <w:rPr>
          <w:rFonts w:eastAsia="Times New Roman" w:cs="Times New Roman"/>
          <w:szCs w:val="28"/>
        </w:rPr>
      </w:pPr>
    </w:p>
    <w:p w:rsidR="003755FA" w:rsidRDefault="00A44455" w:rsidP="00872919">
      <w:pPr>
        <w:pStyle w:val="Signature"/>
        <w:ind w:left="360"/>
        <w:rPr>
          <w:rFonts w:cs="Times New Roman"/>
          <w:szCs w:val="28"/>
        </w:rPr>
      </w:pPr>
      <w:r w:rsidRPr="00E66CD9">
        <w:rPr>
          <w:rFonts w:cs="Times New Roman"/>
          <w:szCs w:val="28"/>
        </w:rPr>
        <w:t xml:space="preserve">Daniel M. Fowler, Esq. </w:t>
      </w:r>
    </w:p>
    <w:p w:rsidR="006A0CDE" w:rsidRPr="00E66CD9" w:rsidRDefault="00A44455" w:rsidP="00872919">
      <w:pPr>
        <w:pStyle w:val="Signature"/>
        <w:ind w:left="360"/>
        <w:rPr>
          <w:rFonts w:cs="Times New Roman"/>
          <w:szCs w:val="28"/>
        </w:rPr>
      </w:pPr>
      <w:r w:rsidRPr="00E66CD9">
        <w:rPr>
          <w:rFonts w:cs="Times New Roman"/>
          <w:szCs w:val="28"/>
        </w:rPr>
        <w:t>Brian Widmann, Esq.</w:t>
      </w:r>
    </w:p>
    <w:p w:rsidR="006A0CDE" w:rsidRPr="00E66CD9" w:rsidRDefault="00A44455" w:rsidP="00872919">
      <w:pPr>
        <w:pStyle w:val="Signature"/>
        <w:ind w:left="360"/>
        <w:rPr>
          <w:rFonts w:cs="Times New Roman"/>
          <w:szCs w:val="28"/>
        </w:rPr>
      </w:pPr>
      <w:r w:rsidRPr="00E66CD9">
        <w:rPr>
          <w:rFonts w:cs="Times New Roman"/>
          <w:szCs w:val="28"/>
        </w:rPr>
        <w:t>Fowler, Schimberg &amp; Flanagan, P.C. 1640 Grant Street, Suite 300</w:t>
      </w:r>
    </w:p>
    <w:p w:rsidR="006A0CDE" w:rsidRPr="00E66CD9" w:rsidRDefault="00A44455" w:rsidP="00872919">
      <w:pPr>
        <w:pStyle w:val="Signature"/>
        <w:ind w:left="360"/>
        <w:rPr>
          <w:rFonts w:cs="Times New Roman"/>
          <w:szCs w:val="28"/>
        </w:rPr>
      </w:pPr>
      <w:r w:rsidRPr="00E66CD9">
        <w:rPr>
          <w:rFonts w:cs="Times New Roman"/>
          <w:szCs w:val="28"/>
        </w:rPr>
        <w:t>Denver, CO 80203</w:t>
      </w:r>
    </w:p>
    <w:p w:rsidR="006A0CDE" w:rsidRDefault="00A44455" w:rsidP="00872919">
      <w:pPr>
        <w:pStyle w:val="Signature"/>
        <w:ind w:left="360"/>
        <w:rPr>
          <w:rFonts w:cs="Times New Roman"/>
          <w:b/>
          <w:i/>
          <w:szCs w:val="28"/>
        </w:rPr>
      </w:pPr>
      <w:r w:rsidRPr="00E66CD9">
        <w:rPr>
          <w:rFonts w:cs="Times New Roman"/>
          <w:b/>
          <w:i/>
          <w:szCs w:val="28"/>
        </w:rPr>
        <w:t xml:space="preserve">Attorneys for Defendants/Appellants Metropolitan Homes, Inc., Metro Inverness, LLC, Greg Krause and Peter </w:t>
      </w:r>
      <w:proofErr w:type="spellStart"/>
      <w:r w:rsidRPr="00E66CD9">
        <w:rPr>
          <w:rFonts w:cs="Times New Roman"/>
          <w:b/>
          <w:i/>
          <w:szCs w:val="28"/>
        </w:rPr>
        <w:t>Kudla</w:t>
      </w:r>
      <w:proofErr w:type="spellEnd"/>
    </w:p>
    <w:p w:rsidR="00BA058F" w:rsidRDefault="00BA058F" w:rsidP="00872919">
      <w:pPr>
        <w:pStyle w:val="Signature"/>
        <w:ind w:left="360"/>
        <w:rPr>
          <w:rFonts w:cs="Times New Roman"/>
          <w:b/>
          <w:i/>
          <w:szCs w:val="28"/>
        </w:rPr>
      </w:pPr>
    </w:p>
    <w:p w:rsidR="00BA058F" w:rsidRPr="00BA058F" w:rsidRDefault="00BA058F" w:rsidP="00BA058F">
      <w:pPr>
        <w:pStyle w:val="Signature"/>
        <w:ind w:left="360"/>
        <w:rPr>
          <w:rFonts w:cs="Times New Roman"/>
          <w:szCs w:val="28"/>
        </w:rPr>
      </w:pPr>
      <w:proofErr w:type="spellStart"/>
      <w:r w:rsidRPr="00BA058F">
        <w:rPr>
          <w:rFonts w:cs="Times New Roman"/>
          <w:szCs w:val="28"/>
        </w:rPr>
        <w:t>Candyce</w:t>
      </w:r>
      <w:proofErr w:type="spellEnd"/>
      <w:r w:rsidRPr="00BA058F">
        <w:rPr>
          <w:rFonts w:cs="Times New Roman"/>
          <w:szCs w:val="28"/>
        </w:rPr>
        <w:t xml:space="preserve"> D. Cavanagh</w:t>
      </w:r>
    </w:p>
    <w:p w:rsidR="00BA058F" w:rsidRPr="00BA058F" w:rsidRDefault="00BA058F" w:rsidP="00BA058F">
      <w:pPr>
        <w:pStyle w:val="Signature"/>
        <w:ind w:left="360"/>
        <w:rPr>
          <w:rFonts w:cs="Times New Roman"/>
          <w:szCs w:val="28"/>
        </w:rPr>
      </w:pPr>
      <w:proofErr w:type="spellStart"/>
      <w:r w:rsidRPr="00BA058F">
        <w:rPr>
          <w:rFonts w:cs="Times New Roman"/>
          <w:szCs w:val="28"/>
        </w:rPr>
        <w:t>Orten</w:t>
      </w:r>
      <w:proofErr w:type="spellEnd"/>
      <w:r w:rsidRPr="00BA058F">
        <w:rPr>
          <w:rFonts w:cs="Times New Roman"/>
          <w:szCs w:val="28"/>
        </w:rPr>
        <w:t xml:space="preserve"> Cavanagh &amp; Holmes, LLC</w:t>
      </w:r>
    </w:p>
    <w:p w:rsidR="00BA058F" w:rsidRPr="00BA058F" w:rsidRDefault="00BA058F" w:rsidP="00BA058F">
      <w:pPr>
        <w:pStyle w:val="Signature"/>
        <w:ind w:left="360"/>
        <w:rPr>
          <w:rFonts w:cs="Times New Roman"/>
          <w:b/>
          <w:i/>
          <w:szCs w:val="28"/>
        </w:rPr>
      </w:pPr>
      <w:r w:rsidRPr="00BA058F">
        <w:rPr>
          <w:rFonts w:cs="Times New Roman"/>
          <w:b/>
          <w:i/>
          <w:szCs w:val="28"/>
        </w:rPr>
        <w:t>Attorneys for Amicus Curiae Build Our Homes Right</w:t>
      </w:r>
    </w:p>
    <w:p w:rsidR="00BA058F" w:rsidRPr="00BA058F" w:rsidRDefault="00BA058F" w:rsidP="00872919">
      <w:pPr>
        <w:pStyle w:val="Signature"/>
        <w:ind w:left="360"/>
        <w:rPr>
          <w:rFonts w:cs="Times New Roman"/>
          <w:szCs w:val="28"/>
        </w:rPr>
      </w:pPr>
    </w:p>
    <w:p w:rsidR="00872919" w:rsidRPr="00E66CD9" w:rsidRDefault="00872919" w:rsidP="00872919">
      <w:pPr>
        <w:pStyle w:val="BodyText"/>
      </w:pPr>
    </w:p>
    <w:p w:rsidR="006A0CDE" w:rsidRPr="00E66CD9" w:rsidRDefault="001E192A">
      <w:pPr>
        <w:spacing w:line="20" w:lineRule="atLeast"/>
        <w:ind w:left="5132"/>
        <w:rPr>
          <w:rFonts w:ascii="Times New Roman" w:eastAsia="Times New Roman" w:hAnsi="Times New Roman" w:cs="Times New Roman"/>
          <w:sz w:val="28"/>
          <w:szCs w:val="28"/>
        </w:rPr>
      </w:pPr>
      <w:r w:rsidRPr="00E66CD9">
        <w:rPr>
          <w:rFonts w:ascii="Times New Roman" w:eastAsia="Times New Roman" w:hAnsi="Times New Roman" w:cs="Times New Roman"/>
          <w:noProof/>
          <w:sz w:val="28"/>
          <w:szCs w:val="28"/>
        </w:rPr>
        <mc:AlternateContent>
          <mc:Choice Requires="wpg">
            <w:drawing>
              <wp:inline distT="0" distB="0" distL="0" distR="0" wp14:anchorId="4B95FDBE" wp14:editId="54344108">
                <wp:extent cx="2296160" cy="10160"/>
                <wp:effectExtent l="0" t="0" r="8890" b="889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160" cy="10160"/>
                          <a:chOff x="0" y="0"/>
                          <a:chExt cx="3616" cy="16"/>
                        </a:xfrm>
                      </wpg:grpSpPr>
                      <wpg:grpSp>
                        <wpg:cNvPr id="5" name="Group 3"/>
                        <wpg:cNvGrpSpPr>
                          <a:grpSpLocks/>
                        </wpg:cNvGrpSpPr>
                        <wpg:grpSpPr bwMode="auto">
                          <a:xfrm>
                            <a:off x="8" y="8"/>
                            <a:ext cx="3600" cy="2"/>
                            <a:chOff x="8" y="8"/>
                            <a:chExt cx="3600" cy="2"/>
                          </a:xfrm>
                        </wpg:grpSpPr>
                        <wps:wsp>
                          <wps:cNvPr id="6" name="Freeform 4"/>
                          <wps:cNvSpPr>
                            <a:spLocks/>
                          </wps:cNvSpPr>
                          <wps:spPr bwMode="auto">
                            <a:xfrm>
                              <a:off x="8" y="8"/>
                              <a:ext cx="3600" cy="2"/>
                            </a:xfrm>
                            <a:custGeom>
                              <a:avLst/>
                              <a:gdLst>
                                <a:gd name="T0" fmla="+- 0 8 8"/>
                                <a:gd name="T1" fmla="*/ T0 w 3600"/>
                                <a:gd name="T2" fmla="+- 0 3608 8"/>
                                <a:gd name="T3" fmla="*/ T2 w 3600"/>
                              </a:gdLst>
                              <a:ahLst/>
                              <a:cxnLst>
                                <a:cxn ang="0">
                                  <a:pos x="T1" y="0"/>
                                </a:cxn>
                                <a:cxn ang="0">
                                  <a:pos x="T3" y="0"/>
                                </a:cxn>
                              </a:cxnLst>
                              <a:rect l="0" t="0" r="r" b="b"/>
                              <a:pathLst>
                                <a:path w="3600">
                                  <a:moveTo>
                                    <a:pt x="0" y="0"/>
                                  </a:moveTo>
                                  <a:lnTo>
                                    <a:pt x="360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E4BB3E" id="Group 2" o:spid="_x0000_s1026" style="width:180.8pt;height:.8pt;mso-position-horizontal-relative:char;mso-position-vertical-relative:line" coordsize="36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">
                <v:group id="Group 3" o:spid="_x0000_s1027" style="position:absolute;left:8;top:8;width:3600;height:2" coordorigin="8,8"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8;top:8;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" path="m,l3600,e" filled="f" strokeweight=".76pt">
                    <v:path arrowok="t" o:connecttype="custom" o:connectlocs="0,0;3600,0" o:connectangles="0,0"/>
                  </v:shape>
                </v:group>
                <w10:anchorlock/>
              </v:group>
            </w:pict>
          </mc:Fallback>
        </mc:AlternateContent>
      </w:r>
    </w:p>
    <w:p w:rsidR="006A0CDE" w:rsidRPr="00E66CD9" w:rsidRDefault="00A44455" w:rsidP="00872919">
      <w:pPr>
        <w:pStyle w:val="BodyText"/>
        <w:ind w:left="4412"/>
      </w:pPr>
      <w:r w:rsidRPr="006809FF">
        <w:rPr>
          <w:noProof/>
        </w:rPr>
        <w:t>Juleen</w:t>
      </w:r>
      <w:r w:rsidRPr="00E66CD9">
        <w:t xml:space="preserve"> McGrane</w:t>
      </w:r>
    </w:p>
    <w:sectPr w:rsidR="006A0CDE" w:rsidRPr="00E66CD9" w:rsidSect="003403F3">
      <w:footerReference w:type="default" r:id="rId10"/>
      <w:pgSz w:w="12240" w:h="15840"/>
      <w:pgMar w:top="2160" w:right="1440" w:bottom="1440" w:left="1440" w:header="720"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4A" w:rsidRDefault="0057394A">
      <w:r>
        <w:separator/>
      </w:r>
    </w:p>
  </w:endnote>
  <w:endnote w:type="continuationSeparator" w:id="0">
    <w:p w:rsidR="0057394A" w:rsidRDefault="0057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6B" w:rsidRPr="00EB7FDA" w:rsidRDefault="00EB7FDA" w:rsidP="00EB7FDA">
    <w:pPr>
      <w:pStyle w:val="Footer"/>
      <w:jc w:val="center"/>
      <w:rPr>
        <w:rFonts w:ascii="Times New Roman" w:hAnsi="Times New Roman" w:cs="Times New Roman"/>
        <w:sz w:val="28"/>
        <w:szCs w:val="28"/>
      </w:rPr>
    </w:pPr>
    <w:r w:rsidRPr="00EB7FDA">
      <w:rPr>
        <w:rFonts w:ascii="Times New Roman" w:hAnsi="Times New Roman" w:cs="Times New Roman"/>
        <w:sz w:val="28"/>
        <w:szCs w:val="28"/>
      </w:rPr>
      <w:fldChar w:fldCharType="begin"/>
    </w:r>
    <w:r w:rsidRPr="00EB7FDA">
      <w:rPr>
        <w:rFonts w:ascii="Times New Roman" w:hAnsi="Times New Roman" w:cs="Times New Roman"/>
        <w:sz w:val="28"/>
        <w:szCs w:val="28"/>
      </w:rPr>
      <w:instrText xml:space="preserve"> PAGE   \* MERGEFORMAT </w:instrText>
    </w:r>
    <w:r w:rsidRPr="00EB7FDA">
      <w:rPr>
        <w:rFonts w:ascii="Times New Roman" w:hAnsi="Times New Roman" w:cs="Times New Roman"/>
        <w:sz w:val="28"/>
        <w:szCs w:val="28"/>
      </w:rPr>
      <w:fldChar w:fldCharType="separate"/>
    </w:r>
    <w:r w:rsidR="003B7D1C">
      <w:rPr>
        <w:rFonts w:ascii="Times New Roman" w:hAnsi="Times New Roman" w:cs="Times New Roman"/>
        <w:noProof/>
        <w:sz w:val="28"/>
        <w:szCs w:val="28"/>
      </w:rPr>
      <w:t>iv</w:t>
    </w:r>
    <w:r w:rsidRPr="00EB7FDA">
      <w:rPr>
        <w:rFonts w:ascii="Times New Roman" w:hAnsi="Times New Roman" w:cs="Times New Roman"/>
        <w:noProof/>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6B" w:rsidRPr="00EB7FDA" w:rsidRDefault="00EB7FDA" w:rsidP="00EB7FDA">
    <w:pPr>
      <w:pStyle w:val="Footer"/>
      <w:jc w:val="center"/>
      <w:rPr>
        <w:rFonts w:ascii="Times New Roman" w:hAnsi="Times New Roman" w:cs="Times New Roman"/>
        <w:sz w:val="28"/>
        <w:szCs w:val="28"/>
      </w:rPr>
    </w:pPr>
    <w:r w:rsidRPr="00EB7FDA">
      <w:rPr>
        <w:rFonts w:ascii="Times New Roman" w:hAnsi="Times New Roman" w:cs="Times New Roman"/>
        <w:sz w:val="28"/>
        <w:szCs w:val="28"/>
      </w:rPr>
      <w:fldChar w:fldCharType="begin"/>
    </w:r>
    <w:r w:rsidRPr="00EB7FDA">
      <w:rPr>
        <w:rFonts w:ascii="Times New Roman" w:hAnsi="Times New Roman" w:cs="Times New Roman"/>
        <w:sz w:val="28"/>
        <w:szCs w:val="28"/>
      </w:rPr>
      <w:instrText xml:space="preserve"> PAGE   \* MERGEFORMAT </w:instrText>
    </w:r>
    <w:r w:rsidRPr="00EB7FDA">
      <w:rPr>
        <w:rFonts w:ascii="Times New Roman" w:hAnsi="Times New Roman" w:cs="Times New Roman"/>
        <w:sz w:val="28"/>
        <w:szCs w:val="28"/>
      </w:rPr>
      <w:fldChar w:fldCharType="separate"/>
    </w:r>
    <w:r w:rsidR="003B7D1C">
      <w:rPr>
        <w:rFonts w:ascii="Times New Roman" w:hAnsi="Times New Roman" w:cs="Times New Roman"/>
        <w:noProof/>
        <w:sz w:val="28"/>
        <w:szCs w:val="28"/>
      </w:rPr>
      <w:t>10</w:t>
    </w:r>
    <w:r w:rsidRPr="00EB7FDA">
      <w:rPr>
        <w:rFonts w:ascii="Times New Roman" w:hAnsi="Times New Roman" w:cs="Times New Roman"/>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4A" w:rsidRDefault="0057394A">
      <w:r>
        <w:separator/>
      </w:r>
    </w:p>
  </w:footnote>
  <w:footnote w:type="continuationSeparator" w:id="0">
    <w:p w:rsidR="0057394A" w:rsidRDefault="00573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22E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163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6C73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6E9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9261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40A7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9AB0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DC27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DC1C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C92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5052"/>
    <w:multiLevelType w:val="hybridMultilevel"/>
    <w:tmpl w:val="5E766A2C"/>
    <w:lvl w:ilvl="0" w:tplc="9686061C">
      <w:start w:val="3"/>
      <w:numFmt w:val="upperLetter"/>
      <w:lvlText w:val="%1."/>
      <w:lvlJc w:val="left"/>
      <w:pPr>
        <w:ind w:left="840" w:hanging="720"/>
      </w:pPr>
      <w:rPr>
        <w:rFonts w:ascii="Times New Roman" w:eastAsia="Times New Roman" w:hAnsi="Times New Roman" w:hint="default"/>
        <w:b/>
        <w:bCs/>
        <w:spacing w:val="-1"/>
        <w:w w:val="99"/>
        <w:sz w:val="28"/>
        <w:szCs w:val="28"/>
      </w:rPr>
    </w:lvl>
    <w:lvl w:ilvl="1" w:tplc="98EACB10">
      <w:start w:val="2"/>
      <w:numFmt w:val="decimal"/>
      <w:lvlText w:val="%2"/>
      <w:lvlJc w:val="left"/>
      <w:pPr>
        <w:ind w:left="120" w:hanging="180"/>
      </w:pPr>
      <w:rPr>
        <w:rFonts w:ascii="Times New Roman" w:eastAsia="Times New Roman" w:hAnsi="Times New Roman" w:hint="default"/>
        <w:sz w:val="24"/>
        <w:szCs w:val="24"/>
      </w:rPr>
    </w:lvl>
    <w:lvl w:ilvl="2" w:tplc="D8F0F154">
      <w:start w:val="1"/>
      <w:numFmt w:val="bullet"/>
      <w:lvlText w:val="•"/>
      <w:lvlJc w:val="left"/>
      <w:pPr>
        <w:ind w:left="1272" w:hanging="180"/>
      </w:pPr>
      <w:rPr>
        <w:rFonts w:hint="default"/>
      </w:rPr>
    </w:lvl>
    <w:lvl w:ilvl="3" w:tplc="C2DABBCE">
      <w:start w:val="1"/>
      <w:numFmt w:val="bullet"/>
      <w:lvlText w:val="•"/>
      <w:lvlJc w:val="left"/>
      <w:pPr>
        <w:ind w:left="2313" w:hanging="180"/>
      </w:pPr>
      <w:rPr>
        <w:rFonts w:hint="default"/>
      </w:rPr>
    </w:lvl>
    <w:lvl w:ilvl="4" w:tplc="79B69710">
      <w:start w:val="1"/>
      <w:numFmt w:val="bullet"/>
      <w:lvlText w:val="•"/>
      <w:lvlJc w:val="left"/>
      <w:pPr>
        <w:ind w:left="3354" w:hanging="180"/>
      </w:pPr>
      <w:rPr>
        <w:rFonts w:hint="default"/>
      </w:rPr>
    </w:lvl>
    <w:lvl w:ilvl="5" w:tplc="B0FE899C">
      <w:start w:val="1"/>
      <w:numFmt w:val="bullet"/>
      <w:lvlText w:val="•"/>
      <w:lvlJc w:val="left"/>
      <w:pPr>
        <w:ind w:left="4395" w:hanging="180"/>
      </w:pPr>
      <w:rPr>
        <w:rFonts w:hint="default"/>
      </w:rPr>
    </w:lvl>
    <w:lvl w:ilvl="6" w:tplc="9A645A24">
      <w:start w:val="1"/>
      <w:numFmt w:val="bullet"/>
      <w:lvlText w:val="•"/>
      <w:lvlJc w:val="left"/>
      <w:pPr>
        <w:ind w:left="5436" w:hanging="180"/>
      </w:pPr>
      <w:rPr>
        <w:rFonts w:hint="default"/>
      </w:rPr>
    </w:lvl>
    <w:lvl w:ilvl="7" w:tplc="6DF2457E">
      <w:start w:val="1"/>
      <w:numFmt w:val="bullet"/>
      <w:lvlText w:val="•"/>
      <w:lvlJc w:val="left"/>
      <w:pPr>
        <w:ind w:left="6477" w:hanging="180"/>
      </w:pPr>
      <w:rPr>
        <w:rFonts w:hint="default"/>
      </w:rPr>
    </w:lvl>
    <w:lvl w:ilvl="8" w:tplc="3E32986E">
      <w:start w:val="1"/>
      <w:numFmt w:val="bullet"/>
      <w:lvlText w:val="•"/>
      <w:lvlJc w:val="left"/>
      <w:pPr>
        <w:ind w:left="7518" w:hanging="180"/>
      </w:pPr>
      <w:rPr>
        <w:rFonts w:hint="default"/>
      </w:rPr>
    </w:lvl>
  </w:abstractNum>
  <w:abstractNum w:abstractNumId="11" w15:restartNumberingAfterBreak="0">
    <w:nsid w:val="0D2203AF"/>
    <w:multiLevelType w:val="hybridMultilevel"/>
    <w:tmpl w:val="EE34E37E"/>
    <w:lvl w:ilvl="0" w:tplc="E12CE272">
      <w:start w:val="1"/>
      <w:numFmt w:val="upperRoman"/>
      <w:lvlText w:val="%1."/>
      <w:lvlJc w:val="left"/>
      <w:pPr>
        <w:ind w:left="4036" w:hanging="257"/>
        <w:jc w:val="right"/>
      </w:pPr>
      <w:rPr>
        <w:rFonts w:ascii="Times New Roman" w:eastAsia="Times New Roman" w:hAnsi="Times New Roman" w:hint="default"/>
        <w:b/>
        <w:bCs/>
        <w:w w:val="99"/>
        <w:sz w:val="28"/>
        <w:szCs w:val="28"/>
      </w:rPr>
    </w:lvl>
    <w:lvl w:ilvl="1" w:tplc="D99A65C8">
      <w:start w:val="1"/>
      <w:numFmt w:val="bullet"/>
      <w:lvlText w:val="•"/>
      <w:lvlJc w:val="left"/>
      <w:pPr>
        <w:ind w:left="4593" w:hanging="257"/>
      </w:pPr>
      <w:rPr>
        <w:rFonts w:hint="default"/>
      </w:rPr>
    </w:lvl>
    <w:lvl w:ilvl="2" w:tplc="29367006">
      <w:start w:val="1"/>
      <w:numFmt w:val="bullet"/>
      <w:lvlText w:val="•"/>
      <w:lvlJc w:val="left"/>
      <w:pPr>
        <w:ind w:left="5149" w:hanging="257"/>
      </w:pPr>
      <w:rPr>
        <w:rFonts w:hint="default"/>
      </w:rPr>
    </w:lvl>
    <w:lvl w:ilvl="3" w:tplc="134EE0FC">
      <w:start w:val="1"/>
      <w:numFmt w:val="bullet"/>
      <w:lvlText w:val="•"/>
      <w:lvlJc w:val="left"/>
      <w:pPr>
        <w:ind w:left="5705" w:hanging="257"/>
      </w:pPr>
      <w:rPr>
        <w:rFonts w:hint="default"/>
      </w:rPr>
    </w:lvl>
    <w:lvl w:ilvl="4" w:tplc="C504DDC4">
      <w:start w:val="1"/>
      <w:numFmt w:val="bullet"/>
      <w:lvlText w:val="•"/>
      <w:lvlJc w:val="left"/>
      <w:pPr>
        <w:ind w:left="6262" w:hanging="257"/>
      </w:pPr>
      <w:rPr>
        <w:rFonts w:hint="default"/>
      </w:rPr>
    </w:lvl>
    <w:lvl w:ilvl="5" w:tplc="4CFCE9BA">
      <w:start w:val="1"/>
      <w:numFmt w:val="bullet"/>
      <w:lvlText w:val="•"/>
      <w:lvlJc w:val="left"/>
      <w:pPr>
        <w:ind w:left="6818" w:hanging="257"/>
      </w:pPr>
      <w:rPr>
        <w:rFonts w:hint="default"/>
      </w:rPr>
    </w:lvl>
    <w:lvl w:ilvl="6" w:tplc="3AD8E550">
      <w:start w:val="1"/>
      <w:numFmt w:val="bullet"/>
      <w:lvlText w:val="•"/>
      <w:lvlJc w:val="left"/>
      <w:pPr>
        <w:ind w:left="7374" w:hanging="257"/>
      </w:pPr>
      <w:rPr>
        <w:rFonts w:hint="default"/>
      </w:rPr>
    </w:lvl>
    <w:lvl w:ilvl="7" w:tplc="CF581E0C">
      <w:start w:val="1"/>
      <w:numFmt w:val="bullet"/>
      <w:lvlText w:val="•"/>
      <w:lvlJc w:val="left"/>
      <w:pPr>
        <w:ind w:left="7931" w:hanging="257"/>
      </w:pPr>
      <w:rPr>
        <w:rFonts w:hint="default"/>
      </w:rPr>
    </w:lvl>
    <w:lvl w:ilvl="8" w:tplc="00C27A70">
      <w:start w:val="1"/>
      <w:numFmt w:val="bullet"/>
      <w:lvlText w:val="•"/>
      <w:lvlJc w:val="left"/>
      <w:pPr>
        <w:ind w:left="8487" w:hanging="257"/>
      </w:pPr>
      <w:rPr>
        <w:rFonts w:hint="default"/>
      </w:rPr>
    </w:lvl>
  </w:abstractNum>
  <w:abstractNum w:abstractNumId="12" w15:restartNumberingAfterBreak="0">
    <w:nsid w:val="4F8C7127"/>
    <w:multiLevelType w:val="hybridMultilevel"/>
    <w:tmpl w:val="66A68CB8"/>
    <w:lvl w:ilvl="0" w:tplc="ED660ABA">
      <w:start w:val="1"/>
      <w:numFmt w:val="upperRoman"/>
      <w:lvlText w:val="%1."/>
      <w:lvlJc w:val="left"/>
      <w:pPr>
        <w:ind w:left="299" w:hanging="200"/>
      </w:pPr>
      <w:rPr>
        <w:rFonts w:ascii="Times New Roman" w:eastAsia="Times New Roman" w:hAnsi="Times New Roman" w:hint="default"/>
        <w:spacing w:val="-1"/>
        <w:sz w:val="24"/>
        <w:szCs w:val="24"/>
      </w:rPr>
    </w:lvl>
    <w:lvl w:ilvl="1" w:tplc="F3800F04">
      <w:start w:val="1"/>
      <w:numFmt w:val="upperLetter"/>
      <w:lvlText w:val="%2."/>
      <w:lvlJc w:val="left"/>
      <w:pPr>
        <w:ind w:left="379" w:hanging="540"/>
      </w:pPr>
      <w:rPr>
        <w:rFonts w:ascii="Times New Roman" w:eastAsia="Times New Roman" w:hAnsi="Times New Roman" w:hint="default"/>
        <w:spacing w:val="-1"/>
        <w:sz w:val="24"/>
        <w:szCs w:val="24"/>
      </w:rPr>
    </w:lvl>
    <w:lvl w:ilvl="2" w:tplc="8BC43E8A">
      <w:start w:val="1"/>
      <w:numFmt w:val="bullet"/>
      <w:lvlText w:val="•"/>
      <w:lvlJc w:val="left"/>
      <w:pPr>
        <w:ind w:left="1399" w:hanging="540"/>
      </w:pPr>
      <w:rPr>
        <w:rFonts w:hint="default"/>
      </w:rPr>
    </w:lvl>
    <w:lvl w:ilvl="3" w:tplc="85E64288">
      <w:start w:val="1"/>
      <w:numFmt w:val="bullet"/>
      <w:lvlText w:val="•"/>
      <w:lvlJc w:val="left"/>
      <w:pPr>
        <w:ind w:left="2419" w:hanging="540"/>
      </w:pPr>
      <w:rPr>
        <w:rFonts w:hint="default"/>
      </w:rPr>
    </w:lvl>
    <w:lvl w:ilvl="4" w:tplc="E4DA3514">
      <w:start w:val="1"/>
      <w:numFmt w:val="bullet"/>
      <w:lvlText w:val="•"/>
      <w:lvlJc w:val="left"/>
      <w:pPr>
        <w:ind w:left="3439" w:hanging="540"/>
      </w:pPr>
      <w:rPr>
        <w:rFonts w:hint="default"/>
      </w:rPr>
    </w:lvl>
    <w:lvl w:ilvl="5" w:tplc="8EF0011A">
      <w:start w:val="1"/>
      <w:numFmt w:val="bullet"/>
      <w:lvlText w:val="•"/>
      <w:lvlJc w:val="left"/>
      <w:pPr>
        <w:ind w:left="4459" w:hanging="540"/>
      </w:pPr>
      <w:rPr>
        <w:rFonts w:hint="default"/>
      </w:rPr>
    </w:lvl>
    <w:lvl w:ilvl="6" w:tplc="8932C8EA">
      <w:start w:val="1"/>
      <w:numFmt w:val="bullet"/>
      <w:lvlText w:val="•"/>
      <w:lvlJc w:val="left"/>
      <w:pPr>
        <w:ind w:left="5479" w:hanging="540"/>
      </w:pPr>
      <w:rPr>
        <w:rFonts w:hint="default"/>
      </w:rPr>
    </w:lvl>
    <w:lvl w:ilvl="7" w:tplc="73724E9C">
      <w:start w:val="1"/>
      <w:numFmt w:val="bullet"/>
      <w:lvlText w:val="•"/>
      <w:lvlJc w:val="left"/>
      <w:pPr>
        <w:ind w:left="6499" w:hanging="540"/>
      </w:pPr>
      <w:rPr>
        <w:rFonts w:hint="default"/>
      </w:rPr>
    </w:lvl>
    <w:lvl w:ilvl="8" w:tplc="4CC47250">
      <w:start w:val="1"/>
      <w:numFmt w:val="bullet"/>
      <w:lvlText w:val="•"/>
      <w:lvlJc w:val="left"/>
      <w:pPr>
        <w:ind w:left="7519" w:hanging="540"/>
      </w:pPr>
      <w:rPr>
        <w:rFonts w:hint="default"/>
      </w:rPr>
    </w:lvl>
  </w:abstractNum>
  <w:abstractNum w:abstractNumId="13" w15:restartNumberingAfterBreak="0">
    <w:nsid w:val="7865147C"/>
    <w:multiLevelType w:val="multilevel"/>
    <w:tmpl w:val="FB0A3BDC"/>
    <w:lvl w:ilvl="0">
      <w:start w:val="3"/>
      <w:numFmt w:val="upperLetter"/>
      <w:lvlText w:val="%1"/>
      <w:lvlJc w:val="left"/>
      <w:pPr>
        <w:ind w:left="119" w:hanging="886"/>
      </w:pPr>
      <w:rPr>
        <w:rFonts w:hint="default"/>
      </w:rPr>
    </w:lvl>
    <w:lvl w:ilvl="1">
      <w:start w:val="18"/>
      <w:numFmt w:val="upperLetter"/>
      <w:lvlText w:val="%1.%2"/>
      <w:lvlJc w:val="left"/>
      <w:pPr>
        <w:ind w:left="119" w:hanging="886"/>
      </w:pPr>
      <w:rPr>
        <w:rFonts w:hint="default"/>
      </w:rPr>
    </w:lvl>
    <w:lvl w:ilvl="2">
      <w:start w:val="19"/>
      <w:numFmt w:val="upperLetter"/>
      <w:lvlText w:val="%1.%2.%3."/>
      <w:lvlJc w:val="left"/>
      <w:pPr>
        <w:ind w:left="119" w:hanging="886"/>
      </w:pPr>
      <w:rPr>
        <w:rFonts w:ascii="Times New Roman" w:eastAsia="Times New Roman" w:hAnsi="Times New Roman" w:hint="default"/>
        <w:w w:val="99"/>
        <w:sz w:val="28"/>
        <w:szCs w:val="28"/>
      </w:rPr>
    </w:lvl>
    <w:lvl w:ilvl="3">
      <w:start w:val="1"/>
      <w:numFmt w:val="decimal"/>
      <w:lvlText w:val="%4."/>
      <w:lvlJc w:val="left"/>
      <w:pPr>
        <w:ind w:left="120" w:hanging="721"/>
      </w:pPr>
      <w:rPr>
        <w:rFonts w:ascii="Times New Roman" w:eastAsia="Times New Roman" w:hAnsi="Times New Roman" w:hint="default"/>
        <w:w w:val="99"/>
        <w:sz w:val="28"/>
        <w:szCs w:val="28"/>
      </w:rPr>
    </w:lvl>
    <w:lvl w:ilvl="4">
      <w:start w:val="1"/>
      <w:numFmt w:val="bullet"/>
      <w:lvlText w:val="•"/>
      <w:lvlJc w:val="left"/>
      <w:pPr>
        <w:ind w:left="3280" w:hanging="721"/>
      </w:pPr>
      <w:rPr>
        <w:rFonts w:hint="default"/>
      </w:rPr>
    </w:lvl>
    <w:lvl w:ilvl="5">
      <w:start w:val="1"/>
      <w:numFmt w:val="bullet"/>
      <w:lvlText w:val="•"/>
      <w:lvlJc w:val="left"/>
      <w:pPr>
        <w:ind w:left="4333" w:hanging="721"/>
      </w:pPr>
      <w:rPr>
        <w:rFonts w:hint="default"/>
      </w:rPr>
    </w:lvl>
    <w:lvl w:ilvl="6">
      <w:start w:val="1"/>
      <w:numFmt w:val="bullet"/>
      <w:lvlText w:val="•"/>
      <w:lvlJc w:val="left"/>
      <w:pPr>
        <w:ind w:left="5386" w:hanging="721"/>
      </w:pPr>
      <w:rPr>
        <w:rFonts w:hint="default"/>
      </w:rPr>
    </w:lvl>
    <w:lvl w:ilvl="7">
      <w:start w:val="1"/>
      <w:numFmt w:val="bullet"/>
      <w:lvlText w:val="•"/>
      <w:lvlJc w:val="left"/>
      <w:pPr>
        <w:ind w:left="6440" w:hanging="721"/>
      </w:pPr>
      <w:rPr>
        <w:rFonts w:hint="default"/>
      </w:rPr>
    </w:lvl>
    <w:lvl w:ilvl="8">
      <w:start w:val="1"/>
      <w:numFmt w:val="bullet"/>
      <w:lvlText w:val="•"/>
      <w:lvlJc w:val="left"/>
      <w:pPr>
        <w:ind w:left="7493" w:hanging="721"/>
      </w:pPr>
      <w:rPr>
        <w:rFont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yNjC0MDM1NDIytDBW0lEKTi0uzszPAykwqgUAQhqrZCwAAAA="/>
  </w:docVars>
  <w:rsids>
    <w:rsidRoot w:val="006A0CDE"/>
    <w:rsid w:val="00030494"/>
    <w:rsid w:val="00030A59"/>
    <w:rsid w:val="0008246B"/>
    <w:rsid w:val="000E75BF"/>
    <w:rsid w:val="001B0C29"/>
    <w:rsid w:val="001E192A"/>
    <w:rsid w:val="00211946"/>
    <w:rsid w:val="002446CD"/>
    <w:rsid w:val="00281F11"/>
    <w:rsid w:val="002D1383"/>
    <w:rsid w:val="002F27C1"/>
    <w:rsid w:val="003171BC"/>
    <w:rsid w:val="003403F3"/>
    <w:rsid w:val="003755FA"/>
    <w:rsid w:val="003A3BBF"/>
    <w:rsid w:val="003B7D1C"/>
    <w:rsid w:val="004316F1"/>
    <w:rsid w:val="004C7582"/>
    <w:rsid w:val="0057394A"/>
    <w:rsid w:val="0060236D"/>
    <w:rsid w:val="0062018C"/>
    <w:rsid w:val="00627DB2"/>
    <w:rsid w:val="00663F28"/>
    <w:rsid w:val="006809FF"/>
    <w:rsid w:val="006945B1"/>
    <w:rsid w:val="006A0CDE"/>
    <w:rsid w:val="006B64FE"/>
    <w:rsid w:val="006E246C"/>
    <w:rsid w:val="007559A5"/>
    <w:rsid w:val="007C1B44"/>
    <w:rsid w:val="007C3943"/>
    <w:rsid w:val="008240D3"/>
    <w:rsid w:val="008475B4"/>
    <w:rsid w:val="00872919"/>
    <w:rsid w:val="00881667"/>
    <w:rsid w:val="008876F7"/>
    <w:rsid w:val="00907A7A"/>
    <w:rsid w:val="0094093E"/>
    <w:rsid w:val="00972234"/>
    <w:rsid w:val="009D4F21"/>
    <w:rsid w:val="009E0109"/>
    <w:rsid w:val="00A44455"/>
    <w:rsid w:val="00A76242"/>
    <w:rsid w:val="00A77454"/>
    <w:rsid w:val="00B053ED"/>
    <w:rsid w:val="00B717A6"/>
    <w:rsid w:val="00BA058F"/>
    <w:rsid w:val="00BB7AB7"/>
    <w:rsid w:val="00C22291"/>
    <w:rsid w:val="00C51113"/>
    <w:rsid w:val="00C85FD7"/>
    <w:rsid w:val="00C972E3"/>
    <w:rsid w:val="00D12620"/>
    <w:rsid w:val="00DA7268"/>
    <w:rsid w:val="00E251BD"/>
    <w:rsid w:val="00E66CD9"/>
    <w:rsid w:val="00E8147F"/>
    <w:rsid w:val="00E86203"/>
    <w:rsid w:val="00EB7FDA"/>
    <w:rsid w:val="00ED256F"/>
    <w:rsid w:val="00FA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872919"/>
  </w:style>
  <w:style w:type="paragraph" w:styleId="Heading1">
    <w:name w:val="heading 1"/>
    <w:basedOn w:val="Normal"/>
    <w:uiPriority w:val="1"/>
    <w:qFormat/>
    <w:pPr>
      <w:ind w:left="840"/>
      <w:outlineLvl w:val="0"/>
    </w:pPr>
    <w:rPr>
      <w:rFonts w:ascii="Times New Roman" w:eastAsia="Times New Roman" w:hAnsi="Times New Roman"/>
      <w:b/>
      <w:bCs/>
      <w:sz w:val="28"/>
      <w:szCs w:val="28"/>
    </w:rPr>
  </w:style>
  <w:style w:type="paragraph" w:styleId="Heading2">
    <w:name w:val="heading 2"/>
    <w:basedOn w:val="Heading1"/>
    <w:next w:val="Normal"/>
    <w:link w:val="Heading2Char"/>
    <w:uiPriority w:val="9"/>
    <w:unhideWhenUsed/>
    <w:qFormat/>
    <w:rsid w:val="00872919"/>
    <w:pPr>
      <w:keepNext/>
      <w:widowControl/>
      <w:tabs>
        <w:tab w:val="left" w:pos="839"/>
      </w:tabs>
      <w:spacing w:after="240"/>
      <w:ind w:left="810" w:hanging="695"/>
      <w:outlineLvl w:val="1"/>
    </w:pPr>
    <w:rPr>
      <w:rFonts w:ascii="Times New Roman Bold" w:hAnsi="Times New Roman Bold"/>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2446CD"/>
    <w:pPr>
      <w:spacing w:after="240"/>
      <w:ind w:left="720" w:hanging="720"/>
    </w:pPr>
    <w:rPr>
      <w:rFonts w:ascii="Times New Roman" w:eastAsia="Times New Roman" w:hAnsi="Times New Roman"/>
      <w:sz w:val="28"/>
      <w:szCs w:val="24"/>
    </w:rPr>
  </w:style>
  <w:style w:type="paragraph" w:styleId="TOC2">
    <w:name w:val="toc 2"/>
    <w:basedOn w:val="Normal"/>
    <w:autoRedefine/>
    <w:uiPriority w:val="39"/>
    <w:qFormat/>
    <w:rsid w:val="002446CD"/>
    <w:pPr>
      <w:spacing w:after="240" w:line="264" w:lineRule="auto"/>
      <w:ind w:left="720" w:right="720" w:hanging="720"/>
    </w:pPr>
    <w:rPr>
      <w:rFonts w:ascii="Times New Roman" w:eastAsia="Times New Roman" w:hAnsi="Times New Roman"/>
      <w:sz w:val="28"/>
      <w:szCs w:val="24"/>
    </w:rPr>
  </w:style>
  <w:style w:type="paragraph" w:styleId="BodyText">
    <w:name w:val="Body Text"/>
    <w:basedOn w:val="Normal"/>
    <w:link w:val="BodyTextChar"/>
    <w:uiPriority w:val="1"/>
    <w:qFormat/>
    <w:rsid w:val="0062018C"/>
    <w:pPr>
      <w:spacing w:line="480" w:lineRule="auto"/>
      <w:ind w:firstLine="720"/>
      <w:jc w:val="both"/>
    </w:pPr>
    <w:rPr>
      <w:rFonts w:ascii="Times New Roman" w:eastAsia="Times New Roman" w:hAnsi="Times New Roman" w:cs="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92A"/>
    <w:rPr>
      <w:rFonts w:ascii="Tahoma" w:hAnsi="Tahoma" w:cs="Tahoma"/>
      <w:sz w:val="16"/>
      <w:szCs w:val="16"/>
    </w:rPr>
  </w:style>
  <w:style w:type="character" w:customStyle="1" w:styleId="BalloonTextChar">
    <w:name w:val="Balloon Text Char"/>
    <w:basedOn w:val="DefaultParagraphFont"/>
    <w:link w:val="BalloonText"/>
    <w:uiPriority w:val="99"/>
    <w:semiHidden/>
    <w:rsid w:val="001E192A"/>
    <w:rPr>
      <w:rFonts w:ascii="Tahoma" w:hAnsi="Tahoma" w:cs="Tahoma"/>
      <w:sz w:val="16"/>
      <w:szCs w:val="16"/>
    </w:rPr>
  </w:style>
  <w:style w:type="character" w:styleId="CommentReference">
    <w:name w:val="annotation reference"/>
    <w:basedOn w:val="DefaultParagraphFont"/>
    <w:uiPriority w:val="99"/>
    <w:semiHidden/>
    <w:unhideWhenUsed/>
    <w:rsid w:val="00872919"/>
    <w:rPr>
      <w:sz w:val="16"/>
      <w:szCs w:val="16"/>
    </w:rPr>
  </w:style>
  <w:style w:type="paragraph" w:styleId="CommentText">
    <w:name w:val="annotation text"/>
    <w:basedOn w:val="Normal"/>
    <w:link w:val="CommentTextChar"/>
    <w:uiPriority w:val="99"/>
    <w:semiHidden/>
    <w:unhideWhenUsed/>
    <w:rsid w:val="00872919"/>
    <w:rPr>
      <w:sz w:val="20"/>
      <w:szCs w:val="20"/>
    </w:rPr>
  </w:style>
  <w:style w:type="character" w:customStyle="1" w:styleId="CommentTextChar">
    <w:name w:val="Comment Text Char"/>
    <w:basedOn w:val="DefaultParagraphFont"/>
    <w:link w:val="CommentText"/>
    <w:uiPriority w:val="99"/>
    <w:semiHidden/>
    <w:rsid w:val="00872919"/>
    <w:rPr>
      <w:sz w:val="20"/>
      <w:szCs w:val="20"/>
    </w:rPr>
  </w:style>
  <w:style w:type="paragraph" w:styleId="CommentSubject">
    <w:name w:val="annotation subject"/>
    <w:basedOn w:val="CommentText"/>
    <w:next w:val="CommentText"/>
    <w:link w:val="CommentSubjectChar"/>
    <w:uiPriority w:val="99"/>
    <w:semiHidden/>
    <w:unhideWhenUsed/>
    <w:rsid w:val="00872919"/>
    <w:rPr>
      <w:b/>
      <w:bCs/>
    </w:rPr>
  </w:style>
  <w:style w:type="character" w:customStyle="1" w:styleId="CommentSubjectChar">
    <w:name w:val="Comment Subject Char"/>
    <w:basedOn w:val="CommentTextChar"/>
    <w:link w:val="CommentSubject"/>
    <w:uiPriority w:val="99"/>
    <w:semiHidden/>
    <w:rsid w:val="00872919"/>
    <w:rPr>
      <w:b/>
      <w:bCs/>
      <w:sz w:val="20"/>
      <w:szCs w:val="20"/>
    </w:rPr>
  </w:style>
  <w:style w:type="paragraph" w:styleId="Quote">
    <w:name w:val="Quote"/>
    <w:basedOn w:val="Normal"/>
    <w:next w:val="Normal"/>
    <w:link w:val="QuoteChar"/>
    <w:uiPriority w:val="29"/>
    <w:qFormat/>
    <w:rsid w:val="002446CD"/>
    <w:pPr>
      <w:spacing w:after="240"/>
      <w:ind w:left="1440" w:right="1440"/>
      <w:jc w:val="both"/>
    </w:pPr>
    <w:rPr>
      <w:rFonts w:ascii="Times New Roman" w:eastAsia="Times New Roman" w:hAnsi="Times New Roman" w:cs="Times New Roman"/>
      <w:sz w:val="28"/>
      <w:szCs w:val="28"/>
    </w:rPr>
  </w:style>
  <w:style w:type="character" w:customStyle="1" w:styleId="QuoteChar">
    <w:name w:val="Quote Char"/>
    <w:basedOn w:val="DefaultParagraphFont"/>
    <w:link w:val="Quote"/>
    <w:uiPriority w:val="29"/>
    <w:rsid w:val="002446CD"/>
    <w:rPr>
      <w:rFonts w:ascii="Times New Roman" w:eastAsia="Times New Roman" w:hAnsi="Times New Roman" w:cs="Times New Roman"/>
      <w:sz w:val="28"/>
      <w:szCs w:val="28"/>
    </w:rPr>
  </w:style>
  <w:style w:type="paragraph" w:styleId="FootnoteText">
    <w:name w:val="footnote text"/>
    <w:basedOn w:val="Normal"/>
    <w:link w:val="FootnoteTextChar"/>
    <w:autoRedefine/>
    <w:uiPriority w:val="99"/>
    <w:unhideWhenUsed/>
    <w:rsid w:val="00872919"/>
    <w:rPr>
      <w:rFonts w:ascii="Times New Roman" w:hAnsi="Times New Roman"/>
      <w:sz w:val="28"/>
      <w:szCs w:val="20"/>
    </w:rPr>
  </w:style>
  <w:style w:type="character" w:customStyle="1" w:styleId="FootnoteTextChar">
    <w:name w:val="Footnote Text Char"/>
    <w:basedOn w:val="DefaultParagraphFont"/>
    <w:link w:val="FootnoteText"/>
    <w:uiPriority w:val="99"/>
    <w:rsid w:val="00872919"/>
    <w:rPr>
      <w:rFonts w:ascii="Times New Roman" w:hAnsi="Times New Roman"/>
      <w:sz w:val="28"/>
      <w:szCs w:val="20"/>
    </w:rPr>
  </w:style>
  <w:style w:type="character" w:styleId="FootnoteReference">
    <w:name w:val="footnote reference"/>
    <w:basedOn w:val="DefaultParagraphFont"/>
    <w:uiPriority w:val="99"/>
    <w:semiHidden/>
    <w:unhideWhenUsed/>
    <w:rsid w:val="00872919"/>
    <w:rPr>
      <w:vertAlign w:val="superscript"/>
    </w:rPr>
  </w:style>
  <w:style w:type="paragraph" w:styleId="Signature">
    <w:name w:val="Signature"/>
    <w:basedOn w:val="Normal"/>
    <w:link w:val="SignatureChar"/>
    <w:uiPriority w:val="99"/>
    <w:unhideWhenUsed/>
    <w:rsid w:val="00872919"/>
    <w:pPr>
      <w:ind w:left="4320"/>
    </w:pPr>
    <w:rPr>
      <w:rFonts w:ascii="Times New Roman" w:hAnsi="Times New Roman"/>
      <w:sz w:val="28"/>
    </w:rPr>
  </w:style>
  <w:style w:type="character" w:customStyle="1" w:styleId="BodyTextChar">
    <w:name w:val="Body Text Char"/>
    <w:basedOn w:val="DefaultParagraphFont"/>
    <w:link w:val="BodyText"/>
    <w:uiPriority w:val="1"/>
    <w:rsid w:val="0062018C"/>
    <w:rPr>
      <w:rFonts w:ascii="Times New Roman" w:eastAsia="Times New Roman" w:hAnsi="Times New Roman" w:cs="Times New Roman"/>
      <w:sz w:val="28"/>
      <w:szCs w:val="28"/>
    </w:rPr>
  </w:style>
  <w:style w:type="character" w:customStyle="1" w:styleId="SignatureChar">
    <w:name w:val="Signature Char"/>
    <w:basedOn w:val="DefaultParagraphFont"/>
    <w:link w:val="Signature"/>
    <w:uiPriority w:val="99"/>
    <w:rsid w:val="00872919"/>
    <w:rPr>
      <w:rFonts w:ascii="Times New Roman" w:hAnsi="Times New Roman"/>
      <w:sz w:val="28"/>
    </w:rPr>
  </w:style>
  <w:style w:type="character" w:customStyle="1" w:styleId="Heading2Char">
    <w:name w:val="Heading 2 Char"/>
    <w:basedOn w:val="DefaultParagraphFont"/>
    <w:link w:val="Heading2"/>
    <w:uiPriority w:val="9"/>
    <w:rsid w:val="00872919"/>
    <w:rPr>
      <w:rFonts w:ascii="Times New Roman Bold" w:eastAsia="Times New Roman" w:hAnsi="Times New Roman Bold"/>
      <w:b/>
      <w:bCs/>
      <w:spacing w:val="-1"/>
      <w:sz w:val="28"/>
      <w:szCs w:val="28"/>
    </w:rPr>
  </w:style>
  <w:style w:type="paragraph" w:styleId="Revision">
    <w:name w:val="Revision"/>
    <w:hidden/>
    <w:uiPriority w:val="99"/>
    <w:semiHidden/>
    <w:rsid w:val="00ED256F"/>
    <w:pPr>
      <w:widowControl/>
    </w:pPr>
  </w:style>
  <w:style w:type="paragraph" w:styleId="Header">
    <w:name w:val="header"/>
    <w:basedOn w:val="Normal"/>
    <w:link w:val="HeaderChar"/>
    <w:uiPriority w:val="99"/>
    <w:unhideWhenUsed/>
    <w:rsid w:val="003403F3"/>
    <w:pPr>
      <w:tabs>
        <w:tab w:val="center" w:pos="4680"/>
        <w:tab w:val="right" w:pos="9360"/>
      </w:tabs>
    </w:pPr>
  </w:style>
  <w:style w:type="character" w:customStyle="1" w:styleId="HeaderChar">
    <w:name w:val="Header Char"/>
    <w:basedOn w:val="DefaultParagraphFont"/>
    <w:link w:val="Header"/>
    <w:uiPriority w:val="99"/>
    <w:rsid w:val="003403F3"/>
  </w:style>
  <w:style w:type="paragraph" w:styleId="Footer">
    <w:name w:val="footer"/>
    <w:basedOn w:val="Normal"/>
    <w:link w:val="FooterChar"/>
    <w:uiPriority w:val="99"/>
    <w:unhideWhenUsed/>
    <w:rsid w:val="003403F3"/>
    <w:pPr>
      <w:tabs>
        <w:tab w:val="center" w:pos="4680"/>
        <w:tab w:val="right" w:pos="9360"/>
      </w:tabs>
    </w:pPr>
  </w:style>
  <w:style w:type="character" w:customStyle="1" w:styleId="FooterChar">
    <w:name w:val="Footer Char"/>
    <w:basedOn w:val="DefaultParagraphFont"/>
    <w:link w:val="Footer"/>
    <w:uiPriority w:val="99"/>
    <w:rsid w:val="003403F3"/>
  </w:style>
  <w:style w:type="paragraph" w:styleId="TOCHeading">
    <w:name w:val="TOC Heading"/>
    <w:basedOn w:val="Heading1"/>
    <w:next w:val="Normal"/>
    <w:uiPriority w:val="39"/>
    <w:unhideWhenUsed/>
    <w:qFormat/>
    <w:rsid w:val="007C3943"/>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character" w:styleId="Hyperlink">
    <w:name w:val="Hyperlink"/>
    <w:basedOn w:val="DefaultParagraphFont"/>
    <w:uiPriority w:val="99"/>
    <w:unhideWhenUsed/>
    <w:rsid w:val="007C3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kerrane@bensonpc.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729DBB0913864CB8D9B4BE5304FB82" ma:contentTypeVersion="2" ma:contentTypeDescription="Create a new document." ma:contentTypeScope="" ma:versionID="c03a4e8e5b8b205234b85c12d302affb">
  <xsd:schema xmlns:xsd="http://www.w3.org/2001/XMLSchema" xmlns:xs="http://www.w3.org/2001/XMLSchema" xmlns:p="http://schemas.microsoft.com/office/2006/metadata/properties" xmlns:ns1="http://schemas.microsoft.com/sharepoint/v3" xmlns:ns2="b70ac034-5ff6-4be4-b0a4-8fbdb55097d0" targetNamespace="http://schemas.microsoft.com/office/2006/metadata/properties" ma:root="true" ma:fieldsID="578afea4c01292c6c6d2615d587a8bf6" ns1:_="" ns2:_="">
    <xsd:import namespace="http://schemas.microsoft.com/sharepoint/v3"/>
    <xsd:import namespace="b70ac034-5ff6-4be4-b0a4-8fbdb55097d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ac034-5ff6-4be4-b0a4-8fbdb55097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5C526-3268-429F-BF7F-300AF433ED98}"/>
</file>

<file path=customXml/itemProps2.xml><?xml version="1.0" encoding="utf-8"?>
<ds:datastoreItem xmlns:ds="http://schemas.openxmlformats.org/officeDocument/2006/customXml" ds:itemID="{B9A204BF-2E2C-4284-B96E-72E8D9FFE7AC}"/>
</file>

<file path=customXml/itemProps3.xml><?xml version="1.0" encoding="utf-8"?>
<ds:datastoreItem xmlns:ds="http://schemas.openxmlformats.org/officeDocument/2006/customXml" ds:itemID="{A1DDDAAF-A796-4AEC-895D-4C7F1E2178AC}"/>
</file>

<file path=customXml/itemProps4.xml><?xml version="1.0" encoding="utf-8"?>
<ds:datastoreItem xmlns:ds="http://schemas.openxmlformats.org/officeDocument/2006/customXml" ds:itemID="{8F4C13AF-3CE7-4A65-A915-1AA865355DD7}"/>
</file>

<file path=docProps/app.xml><?xml version="1.0" encoding="utf-8"?>
<Properties xmlns="http://schemas.openxmlformats.org/officeDocument/2006/extended-properties" xmlns:vt="http://schemas.openxmlformats.org/officeDocument/2006/docPropsVTypes">
  <Template>Normal.dotm</Template>
  <TotalTime>0</TotalTime>
  <Pages>14</Pages>
  <Words>2488</Words>
  <Characters>14187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2017-06-07T20:13:00Z</dcterms:created>
  <dcterms:modified xsi:type="dcterms:W3CDTF">2017-06-07T20:13:00Z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0x01010009729DBB0913864CB8D9B4BE5304FB82</vt:lpwstr>
  </property>
</Properties>
</file>